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5189"/>
        <w:gridCol w:w="6811"/>
      </w:tblGrid>
      <w:tr w:rsidR="00CD02E7" w:rsidRPr="00CD02E7" w:rsidTr="00CD02E7">
        <w:trPr>
          <w:tblCellSpacing w:w="15" w:type="dxa"/>
        </w:trPr>
        <w:tc>
          <w:tcPr>
            <w:tcW w:w="3900" w:type="dxa"/>
            <w:hideMark/>
          </w:tcPr>
          <w:p w:rsidR="00CD02E7" w:rsidRPr="00CD02E7" w:rsidRDefault="00CD02E7" w:rsidP="00CD02E7">
            <w:pPr>
              <w:spacing w:after="0" w:line="240" w:lineRule="auto"/>
              <w:rPr>
                <w:rFonts w:ascii="Times New Roman" w:eastAsia="Times New Roman" w:hAnsi="Times New Roman" w:cs="Times New Roman"/>
                <w:sz w:val="24"/>
                <w:szCs w:val="24"/>
              </w:rPr>
            </w:pPr>
            <w:r w:rsidRPr="00CD02E7">
              <w:rPr>
                <w:rFonts w:ascii="Times New Roman" w:eastAsia="Times New Roman" w:hAnsi="Times New Roman" w:cs="Times New Roman"/>
                <w:noProof/>
                <w:sz w:val="24"/>
                <w:szCs w:val="24"/>
              </w:rPr>
              <w:drawing>
                <wp:inline distT="0" distB="0" distL="0" distR="0" wp14:anchorId="3E1BFEE9" wp14:editId="78886D0B">
                  <wp:extent cx="1428750" cy="1238250"/>
                  <wp:effectExtent l="0" t="0" r="0" b="0"/>
                  <wp:docPr id="6" name="Picture 6"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aniz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tc>
        <w:tc>
          <w:tcPr>
            <w:tcW w:w="5100" w:type="dxa"/>
            <w:hideMark/>
          </w:tcPr>
          <w:tbl>
            <w:tblPr>
              <w:tblW w:w="5100" w:type="dxa"/>
              <w:tblCellSpacing w:w="7" w:type="dxa"/>
              <w:tblCellMar>
                <w:left w:w="0" w:type="dxa"/>
                <w:right w:w="0" w:type="dxa"/>
              </w:tblCellMar>
              <w:tblLook w:val="04A0" w:firstRow="1" w:lastRow="0" w:firstColumn="1" w:lastColumn="0" w:noHBand="0" w:noVBand="1"/>
            </w:tblPr>
            <w:tblGrid>
              <w:gridCol w:w="508"/>
              <w:gridCol w:w="1880"/>
              <w:gridCol w:w="501"/>
              <w:gridCol w:w="2211"/>
            </w:tblGrid>
            <w:tr w:rsidR="00CD02E7" w:rsidRPr="00CD02E7" w:rsidTr="00CD02E7">
              <w:trPr>
                <w:gridAfter w:val="2"/>
                <w:wAfter w:w="2454" w:type="dxa"/>
                <w:tblCellSpacing w:w="7" w:type="dxa"/>
              </w:trPr>
              <w:tc>
                <w:tcPr>
                  <w:tcW w:w="450" w:type="dxa"/>
                  <w:vAlign w:val="center"/>
                </w:tcPr>
                <w:p w:rsidR="00CD02E7" w:rsidRPr="00CD02E7" w:rsidRDefault="00CD02E7" w:rsidP="00CD02E7">
                  <w:pPr>
                    <w:spacing w:after="0" w:line="240" w:lineRule="auto"/>
                    <w:jc w:val="right"/>
                    <w:rPr>
                      <w:rFonts w:ascii="Times New Roman" w:eastAsia="Times New Roman" w:hAnsi="Times New Roman" w:cs="Times New Roman"/>
                      <w:sz w:val="24"/>
                      <w:szCs w:val="24"/>
                    </w:rPr>
                  </w:pPr>
                </w:p>
              </w:tc>
              <w:tc>
                <w:tcPr>
                  <w:tcW w:w="1725" w:type="dxa"/>
                  <w:vAlign w:val="center"/>
                </w:tcPr>
                <w:p w:rsidR="00CD02E7" w:rsidRPr="00CD02E7" w:rsidRDefault="00CD02E7" w:rsidP="00CD02E7">
                  <w:pPr>
                    <w:spacing w:after="0" w:line="240" w:lineRule="auto"/>
                    <w:rPr>
                      <w:rFonts w:ascii="Times New Roman" w:eastAsia="Times New Roman" w:hAnsi="Times New Roman" w:cs="Times New Roman"/>
                      <w:sz w:val="24"/>
                      <w:szCs w:val="24"/>
                    </w:rPr>
                  </w:pPr>
                </w:p>
              </w:tc>
            </w:tr>
            <w:tr w:rsidR="00CD02E7" w:rsidRPr="00CD02E7" w:rsidTr="00CD02E7">
              <w:trPr>
                <w:tblCellSpacing w:w="7" w:type="dxa"/>
              </w:trPr>
              <w:tc>
                <w:tcPr>
                  <w:tcW w:w="450" w:type="dxa"/>
                  <w:vAlign w:val="center"/>
                </w:tcPr>
                <w:p w:rsidR="00CD02E7" w:rsidRPr="00CD02E7" w:rsidRDefault="00CD02E7" w:rsidP="00CD02E7">
                  <w:pPr>
                    <w:spacing w:after="0" w:line="240" w:lineRule="auto"/>
                    <w:rPr>
                      <w:rFonts w:ascii="Times New Roman" w:eastAsia="Times New Roman" w:hAnsi="Times New Roman" w:cs="Times New Roman"/>
                      <w:sz w:val="24"/>
                      <w:szCs w:val="24"/>
                    </w:rPr>
                  </w:pPr>
                </w:p>
              </w:tc>
              <w:tc>
                <w:tcPr>
                  <w:tcW w:w="1725" w:type="dxa"/>
                  <w:vAlign w:val="center"/>
                </w:tcPr>
                <w:p w:rsidR="00CD02E7" w:rsidRPr="00CD02E7" w:rsidRDefault="00CD02E7" w:rsidP="00CD02E7">
                  <w:pPr>
                    <w:spacing w:after="0" w:line="240" w:lineRule="auto"/>
                    <w:rPr>
                      <w:rFonts w:ascii="Times New Roman" w:eastAsia="Times New Roman" w:hAnsi="Times New Roman" w:cs="Times New Roman"/>
                      <w:sz w:val="24"/>
                      <w:szCs w:val="24"/>
                    </w:rPr>
                  </w:pPr>
                </w:p>
              </w:tc>
              <w:tc>
                <w:tcPr>
                  <w:tcW w:w="450" w:type="dxa"/>
                  <w:vAlign w:val="center"/>
                </w:tcPr>
                <w:p w:rsidR="00CD02E7" w:rsidRPr="00CD02E7" w:rsidRDefault="00CD02E7" w:rsidP="00CD02E7">
                  <w:pPr>
                    <w:spacing w:after="0" w:line="240" w:lineRule="auto"/>
                    <w:jc w:val="right"/>
                    <w:rPr>
                      <w:rFonts w:ascii="Times New Roman" w:eastAsia="Times New Roman" w:hAnsi="Times New Roman" w:cs="Times New Roman"/>
                      <w:sz w:val="24"/>
                      <w:szCs w:val="24"/>
                    </w:rPr>
                  </w:pPr>
                </w:p>
              </w:tc>
              <w:tc>
                <w:tcPr>
                  <w:tcW w:w="2025" w:type="dxa"/>
                  <w:vAlign w:val="center"/>
                </w:tcPr>
                <w:p w:rsidR="00CD02E7" w:rsidRPr="00CD02E7" w:rsidRDefault="00CD02E7" w:rsidP="00CD02E7">
                  <w:pPr>
                    <w:spacing w:after="0" w:line="240" w:lineRule="auto"/>
                    <w:rPr>
                      <w:rFonts w:ascii="Times New Roman" w:eastAsia="Times New Roman" w:hAnsi="Times New Roman" w:cs="Times New Roman"/>
                      <w:sz w:val="24"/>
                      <w:szCs w:val="24"/>
                    </w:rPr>
                  </w:pPr>
                </w:p>
              </w:tc>
            </w:tr>
          </w:tbl>
          <w:p w:rsidR="00CD02E7" w:rsidRPr="00CD02E7" w:rsidRDefault="00CD02E7" w:rsidP="00CD02E7">
            <w:pPr>
              <w:spacing w:after="0" w:line="240" w:lineRule="auto"/>
              <w:rPr>
                <w:rFonts w:ascii="Times New Roman" w:eastAsia="Times New Roman" w:hAnsi="Times New Roman" w:cs="Times New Roman"/>
                <w:sz w:val="24"/>
                <w:szCs w:val="24"/>
              </w:rPr>
            </w:pPr>
          </w:p>
        </w:tc>
      </w:tr>
    </w:tbl>
    <w:p w:rsidR="00CD02E7" w:rsidRPr="00CD02E7" w:rsidRDefault="00CD02E7" w:rsidP="00CD02E7">
      <w:pPr>
        <w:spacing w:before="100" w:beforeAutospacing="1" w:after="100" w:afterAutospacing="1" w:line="240" w:lineRule="auto"/>
        <w:rPr>
          <w:rFonts w:ascii="Arial" w:eastAsia="Times New Roman" w:hAnsi="Arial" w:cs="Arial"/>
          <w:color w:val="000000"/>
          <w:sz w:val="20"/>
          <w:szCs w:val="20"/>
          <w:shd w:val="clear" w:color="auto" w:fill="FFFFFF"/>
        </w:rPr>
      </w:pPr>
      <w:r w:rsidRPr="00CD02E7">
        <w:rPr>
          <w:rFonts w:ascii="Arial" w:eastAsia="Times New Roman" w:hAnsi="Arial" w:cs="Arial"/>
          <w:b/>
          <w:bCs/>
          <w:color w:val="990000"/>
          <w:sz w:val="24"/>
          <w:szCs w:val="24"/>
          <w:shd w:val="clear" w:color="auto" w:fill="FFFFFF"/>
        </w:rPr>
        <w:t>Justice, Department of</w:t>
      </w:r>
    </w:p>
    <w:p w:rsidR="00CD02E7" w:rsidRPr="00CD02E7" w:rsidRDefault="00CD02E7" w:rsidP="00CD02E7">
      <w:pPr>
        <w:spacing w:after="0" w:line="240" w:lineRule="auto"/>
        <w:rPr>
          <w:rFonts w:ascii="Arial" w:eastAsia="Times New Roman" w:hAnsi="Arial" w:cs="Arial"/>
          <w:color w:val="000000"/>
          <w:sz w:val="20"/>
          <w:szCs w:val="20"/>
          <w:shd w:val="clear" w:color="auto" w:fill="FFFFFF"/>
        </w:rPr>
      </w:pPr>
      <w:r w:rsidRPr="00CD02E7">
        <w:rPr>
          <w:rFonts w:ascii="Arial" w:eastAsia="Times New Roman" w:hAnsi="Arial" w:cs="Arial"/>
          <w:b/>
          <w:bCs/>
          <w:color w:val="990000"/>
          <w:sz w:val="24"/>
          <w:szCs w:val="24"/>
          <w:shd w:val="clear" w:color="auto" w:fill="FFFFFF"/>
        </w:rPr>
        <w:t>Toxicologist </w:t>
      </w:r>
      <w:r w:rsidRPr="00CD02E7">
        <w:rPr>
          <w:rFonts w:ascii="Arial" w:eastAsia="Times New Roman" w:hAnsi="Arial" w:cs="Arial"/>
          <w:color w:val="000000"/>
          <w:sz w:val="27"/>
          <w:szCs w:val="27"/>
        </w:rPr>
        <w:br/>
      </w:r>
      <w:r w:rsidRPr="00CD02E7">
        <w:rPr>
          <w:rFonts w:ascii="Arial" w:eastAsia="Times New Roman" w:hAnsi="Arial" w:cs="Arial"/>
          <w:b/>
          <w:bCs/>
          <w:color w:val="000000"/>
          <w:sz w:val="20"/>
          <w:szCs w:val="20"/>
          <w:shd w:val="clear" w:color="auto" w:fill="FFFFFF"/>
        </w:rPr>
        <w:t>Job Announcement Code(s): 19-02320</w:t>
      </w:r>
    </w:p>
    <w:tbl>
      <w:tblPr>
        <w:tblW w:w="712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486"/>
        <w:gridCol w:w="4639"/>
      </w:tblGrid>
      <w:tr w:rsidR="00CD02E7" w:rsidRPr="00CD02E7" w:rsidTr="00CD02E7">
        <w:trPr>
          <w:tblCellSpacing w:w="0" w:type="dxa"/>
        </w:trPr>
        <w:tc>
          <w:tcPr>
            <w:tcW w:w="2250"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hyperlink r:id="rId5" w:history="1">
              <w:r w:rsidRPr="00CD02E7">
                <w:rPr>
                  <w:rFonts w:ascii="Verdana" w:eastAsia="Times New Roman" w:hAnsi="Verdana" w:cs="Times New Roman"/>
                  <w:b/>
                  <w:bCs/>
                  <w:color w:val="0000FF"/>
                  <w:sz w:val="15"/>
                  <w:szCs w:val="15"/>
                  <w:u w:val="single"/>
                  <w:bdr w:val="none" w:sz="0" w:space="0" w:color="auto" w:frame="1"/>
                </w:rPr>
                <w:t>County(</w:t>
              </w:r>
              <w:proofErr w:type="spellStart"/>
              <w:r w:rsidRPr="00CD02E7">
                <w:rPr>
                  <w:rFonts w:ascii="Verdana" w:eastAsia="Times New Roman" w:hAnsi="Verdana" w:cs="Times New Roman"/>
                  <w:b/>
                  <w:bCs/>
                  <w:color w:val="0000FF"/>
                  <w:sz w:val="15"/>
                  <w:szCs w:val="15"/>
                  <w:u w:val="single"/>
                  <w:bdr w:val="none" w:sz="0" w:space="0" w:color="auto" w:frame="1"/>
                </w:rPr>
                <w:t>ies</w:t>
              </w:r>
              <w:proofErr w:type="spellEnd"/>
              <w:r w:rsidRPr="00CD02E7">
                <w:rPr>
                  <w:rFonts w:ascii="Verdana" w:eastAsia="Times New Roman" w:hAnsi="Verdana" w:cs="Times New Roman"/>
                  <w:b/>
                  <w:bCs/>
                  <w:color w:val="0000FF"/>
                  <w:sz w:val="15"/>
                  <w:szCs w:val="15"/>
                  <w:u w:val="single"/>
                  <w:bdr w:val="none" w:sz="0" w:space="0" w:color="auto" w:frame="1"/>
                </w:rPr>
                <w:t>):</w:t>
              </w:r>
            </w:hyperlink>
          </w:p>
        </w:tc>
        <w:tc>
          <w:tcPr>
            <w:tcW w:w="4875"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hyperlink r:id="rId6" w:history="1">
              <w:r w:rsidRPr="00CD02E7">
                <w:rPr>
                  <w:rFonts w:ascii="Verdana" w:eastAsia="Times New Roman" w:hAnsi="Verdana" w:cs="Times New Roman"/>
                  <w:color w:val="0000FF"/>
                  <w:sz w:val="15"/>
                  <w:szCs w:val="15"/>
                  <w:u w:val="single"/>
                  <w:bdr w:val="none" w:sz="0" w:space="0" w:color="auto" w:frame="1"/>
                </w:rPr>
                <w:t>Dane</w:t>
              </w:r>
            </w:hyperlink>
          </w:p>
        </w:tc>
      </w:tr>
      <w:tr w:rsidR="00CD02E7" w:rsidRPr="00CD02E7" w:rsidTr="00CD02E7">
        <w:trPr>
          <w:tblCellSpacing w:w="0" w:type="dxa"/>
        </w:trPr>
        <w:tc>
          <w:tcPr>
            <w:tcW w:w="2625"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hyperlink r:id="rId7" w:history="1">
              <w:r w:rsidRPr="00CD02E7">
                <w:rPr>
                  <w:rFonts w:ascii="Verdana" w:eastAsia="Times New Roman" w:hAnsi="Verdana" w:cs="Times New Roman"/>
                  <w:b/>
                  <w:bCs/>
                  <w:color w:val="0000FF"/>
                  <w:sz w:val="15"/>
                  <w:szCs w:val="15"/>
                  <w:u w:val="single"/>
                  <w:bdr w:val="none" w:sz="0" w:space="0" w:color="auto" w:frame="1"/>
                </w:rPr>
                <w:t>Classification Title</w:t>
              </w:r>
            </w:hyperlink>
            <w:r w:rsidRPr="00CD02E7">
              <w:rPr>
                <w:rFonts w:ascii="Verdana" w:eastAsia="Times New Roman" w:hAnsi="Verdana" w:cs="Times New Roman"/>
                <w:b/>
                <w:bCs/>
                <w:sz w:val="15"/>
                <w:szCs w:val="15"/>
              </w:rPr>
              <w:t>: / </w:t>
            </w:r>
            <w:hyperlink r:id="rId8" w:history="1">
              <w:r w:rsidRPr="00CD02E7">
                <w:rPr>
                  <w:rFonts w:ascii="Verdana" w:eastAsia="Times New Roman" w:hAnsi="Verdana" w:cs="Times New Roman"/>
                  <w:b/>
                  <w:bCs/>
                  <w:color w:val="0000FF"/>
                  <w:sz w:val="15"/>
                  <w:szCs w:val="15"/>
                  <w:u w:val="single"/>
                  <w:bdr w:val="none" w:sz="0" w:space="0" w:color="auto" w:frame="1"/>
                </w:rPr>
                <w:t>JAC</w:t>
              </w:r>
            </w:hyperlink>
            <w:r w:rsidRPr="00CD02E7">
              <w:rPr>
                <w:rFonts w:ascii="Verdana" w:eastAsia="Times New Roman" w:hAnsi="Verdana" w:cs="Times New Roman"/>
                <w:b/>
                <w:bCs/>
                <w:sz w:val="15"/>
                <w:szCs w:val="15"/>
              </w:rPr>
              <w:t>:</w:t>
            </w:r>
            <w:r w:rsidRPr="00CD02E7">
              <w:rPr>
                <w:rFonts w:ascii="Verdana" w:eastAsia="Times New Roman" w:hAnsi="Verdana" w:cs="Times New Roman"/>
                <w:sz w:val="15"/>
                <w:szCs w:val="15"/>
              </w:rPr>
              <w:br/>
            </w:r>
            <w:r w:rsidRPr="00CD02E7">
              <w:rPr>
                <w:rFonts w:ascii="Verdana" w:eastAsia="Times New Roman" w:hAnsi="Verdana" w:cs="Times New Roman"/>
                <w:b/>
                <w:bCs/>
                <w:sz w:val="15"/>
                <w:szCs w:val="15"/>
              </w:rPr>
              <w:t>  </w:t>
            </w:r>
            <w:hyperlink r:id="rId9" w:history="1">
              <w:r w:rsidRPr="00CD02E7">
                <w:rPr>
                  <w:rFonts w:ascii="Verdana" w:eastAsia="Times New Roman" w:hAnsi="Verdana" w:cs="Times New Roman"/>
                  <w:b/>
                  <w:bCs/>
                  <w:color w:val="0000FF"/>
                  <w:sz w:val="15"/>
                  <w:szCs w:val="15"/>
                  <w:u w:val="single"/>
                  <w:bdr w:val="none" w:sz="0" w:space="0" w:color="auto" w:frame="1"/>
                </w:rPr>
                <w:t>Job Working Title</w:t>
              </w:r>
            </w:hyperlink>
            <w:r w:rsidRPr="00CD02E7">
              <w:rPr>
                <w:rFonts w:ascii="Verdana" w:eastAsia="Times New Roman" w:hAnsi="Verdana" w:cs="Times New Roman"/>
                <w:b/>
                <w:bCs/>
                <w:sz w:val="15"/>
                <w:szCs w:val="15"/>
              </w:rPr>
              <w:t>:</w:t>
            </w:r>
          </w:p>
        </w:tc>
        <w:tc>
          <w:tcPr>
            <w:tcW w:w="4125"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r w:rsidRPr="00CD02E7">
              <w:rPr>
                <w:rFonts w:ascii="Verdana" w:eastAsia="Times New Roman" w:hAnsi="Verdana" w:cs="Times New Roman"/>
                <w:sz w:val="15"/>
                <w:szCs w:val="15"/>
              </w:rPr>
              <w:t>TOXICOLOGIST 19-02320 </w:t>
            </w:r>
            <w:r w:rsidRPr="00CD02E7">
              <w:rPr>
                <w:rFonts w:ascii="Verdana" w:eastAsia="Times New Roman" w:hAnsi="Verdana" w:cs="Times New Roman"/>
                <w:sz w:val="15"/>
                <w:szCs w:val="15"/>
              </w:rPr>
              <w:br/>
              <w:t>    Toxicologist</w:t>
            </w:r>
            <w:r w:rsidRPr="00CD02E7">
              <w:rPr>
                <w:rFonts w:ascii="Verdana" w:eastAsia="Times New Roman" w:hAnsi="Verdana" w:cs="Times New Roman"/>
                <w:sz w:val="15"/>
                <w:szCs w:val="15"/>
              </w:rPr>
              <w:br/>
              <w:t>TOXICOLOGIST-SEN 19-02320 </w:t>
            </w:r>
            <w:r w:rsidRPr="00CD02E7">
              <w:rPr>
                <w:rFonts w:ascii="Verdana" w:eastAsia="Times New Roman" w:hAnsi="Verdana" w:cs="Times New Roman"/>
                <w:sz w:val="15"/>
                <w:szCs w:val="15"/>
              </w:rPr>
              <w:br/>
              <w:t>    Toxicologist - Senior</w:t>
            </w:r>
          </w:p>
        </w:tc>
      </w:tr>
      <w:tr w:rsidR="00CD02E7" w:rsidRPr="00CD02E7" w:rsidTr="00CD02E7">
        <w:trPr>
          <w:tblCellSpacing w:w="0" w:type="dxa"/>
        </w:trPr>
        <w:tc>
          <w:tcPr>
            <w:tcW w:w="2250"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hyperlink r:id="rId10" w:history="1">
              <w:r w:rsidRPr="00CD02E7">
                <w:rPr>
                  <w:rFonts w:ascii="Verdana" w:eastAsia="Times New Roman" w:hAnsi="Verdana" w:cs="Times New Roman"/>
                  <w:b/>
                  <w:bCs/>
                  <w:color w:val="0000FF"/>
                  <w:sz w:val="15"/>
                  <w:szCs w:val="15"/>
                  <w:u w:val="single"/>
                  <w:bdr w:val="none" w:sz="0" w:space="0" w:color="auto" w:frame="1"/>
                </w:rPr>
                <w:t>Type of Employment</w:t>
              </w:r>
            </w:hyperlink>
            <w:r w:rsidRPr="00CD02E7">
              <w:rPr>
                <w:rFonts w:ascii="Verdana" w:eastAsia="Times New Roman" w:hAnsi="Verdana" w:cs="Times New Roman"/>
                <w:b/>
                <w:bCs/>
                <w:sz w:val="15"/>
                <w:szCs w:val="15"/>
              </w:rPr>
              <w:t>:</w:t>
            </w:r>
          </w:p>
        </w:tc>
        <w:tc>
          <w:tcPr>
            <w:tcW w:w="4875"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r w:rsidRPr="00CD02E7">
              <w:rPr>
                <w:rFonts w:ascii="Verdana" w:eastAsia="Times New Roman" w:hAnsi="Verdana" w:cs="Times New Roman"/>
                <w:sz w:val="15"/>
                <w:szCs w:val="15"/>
              </w:rPr>
              <w:t xml:space="preserve">Full Time (40 </w:t>
            </w:r>
            <w:proofErr w:type="spellStart"/>
            <w:r w:rsidRPr="00CD02E7">
              <w:rPr>
                <w:rFonts w:ascii="Verdana" w:eastAsia="Times New Roman" w:hAnsi="Verdana" w:cs="Times New Roman"/>
                <w:sz w:val="15"/>
                <w:szCs w:val="15"/>
              </w:rPr>
              <w:t>hrs</w:t>
            </w:r>
            <w:proofErr w:type="spellEnd"/>
            <w:r w:rsidRPr="00CD02E7">
              <w:rPr>
                <w:rFonts w:ascii="Verdana" w:eastAsia="Times New Roman" w:hAnsi="Verdana" w:cs="Times New Roman"/>
                <w:sz w:val="15"/>
                <w:szCs w:val="15"/>
              </w:rPr>
              <w:t>/week)</w:t>
            </w:r>
          </w:p>
        </w:tc>
      </w:tr>
      <w:tr w:rsidR="00CD02E7" w:rsidRPr="00CD02E7" w:rsidTr="00CD02E7">
        <w:trPr>
          <w:tblCellSpacing w:w="0" w:type="dxa"/>
        </w:trPr>
        <w:tc>
          <w:tcPr>
            <w:tcW w:w="2250"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hyperlink r:id="rId11" w:history="1">
              <w:r w:rsidRPr="00CD02E7">
                <w:rPr>
                  <w:rFonts w:ascii="Verdana" w:eastAsia="Times New Roman" w:hAnsi="Verdana" w:cs="Times New Roman"/>
                  <w:b/>
                  <w:bCs/>
                  <w:color w:val="0000FF"/>
                  <w:sz w:val="15"/>
                  <w:szCs w:val="15"/>
                  <w:u w:val="single"/>
                  <w:bdr w:val="none" w:sz="0" w:space="0" w:color="auto" w:frame="1"/>
                </w:rPr>
                <w:t>Salary</w:t>
              </w:r>
            </w:hyperlink>
            <w:r w:rsidRPr="00CD02E7">
              <w:rPr>
                <w:rFonts w:ascii="Verdana" w:eastAsia="Times New Roman" w:hAnsi="Verdana" w:cs="Times New Roman"/>
                <w:b/>
                <w:bCs/>
                <w:sz w:val="15"/>
                <w:szCs w:val="15"/>
              </w:rPr>
              <w:t>:</w:t>
            </w:r>
          </w:p>
        </w:tc>
        <w:tc>
          <w:tcPr>
            <w:tcW w:w="4875"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r w:rsidRPr="00CD02E7">
              <w:rPr>
                <w:rFonts w:ascii="Verdana" w:eastAsia="Times New Roman" w:hAnsi="Verdana" w:cs="Times New Roman"/>
                <w:sz w:val="15"/>
                <w:szCs w:val="15"/>
              </w:rPr>
              <w:t>Depending on qualifications, wage for the entry (15-04) position will be between $25 and $29.62 per hour and up to $32 per hour for senior (15-03) level. Pay on appointment for current or former state employees may vary according to the applicable pay provisions found in the Wisconsin State Compensation Plan. A 12-month probation may be required.</w:t>
            </w:r>
          </w:p>
        </w:tc>
      </w:tr>
      <w:tr w:rsidR="00CD02E7" w:rsidRPr="00CD02E7" w:rsidTr="00CD02E7">
        <w:trPr>
          <w:tblCellSpacing w:w="0" w:type="dxa"/>
        </w:trPr>
        <w:tc>
          <w:tcPr>
            <w:tcW w:w="2250"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hyperlink r:id="rId12" w:history="1">
              <w:r w:rsidRPr="00CD02E7">
                <w:rPr>
                  <w:rFonts w:ascii="Verdana" w:eastAsia="Times New Roman" w:hAnsi="Verdana" w:cs="Times New Roman"/>
                  <w:b/>
                  <w:bCs/>
                  <w:color w:val="0000FF"/>
                  <w:sz w:val="15"/>
                  <w:szCs w:val="15"/>
                  <w:u w:val="single"/>
                  <w:bdr w:val="none" w:sz="0" w:space="0" w:color="auto" w:frame="1"/>
                </w:rPr>
                <w:t>Contact</w:t>
              </w:r>
            </w:hyperlink>
            <w:r w:rsidRPr="00CD02E7">
              <w:rPr>
                <w:rFonts w:ascii="Verdana" w:eastAsia="Times New Roman" w:hAnsi="Verdana" w:cs="Times New Roman"/>
                <w:b/>
                <w:bCs/>
                <w:sz w:val="15"/>
                <w:szCs w:val="15"/>
              </w:rPr>
              <w:t>:</w:t>
            </w:r>
          </w:p>
        </w:tc>
        <w:tc>
          <w:tcPr>
            <w:tcW w:w="4875"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r w:rsidRPr="00CD02E7">
              <w:rPr>
                <w:rFonts w:ascii="Verdana" w:eastAsia="Times New Roman" w:hAnsi="Verdana" w:cs="Times New Roman"/>
                <w:sz w:val="15"/>
                <w:szCs w:val="15"/>
              </w:rPr>
              <w:t>Donna Marchese, Human Resources Specialist, Senior, 608-266-0619, marchesedp@doj.state.wi.us</w:t>
            </w:r>
          </w:p>
        </w:tc>
      </w:tr>
      <w:tr w:rsidR="00CD02E7" w:rsidRPr="00CD02E7" w:rsidTr="00CD02E7">
        <w:trPr>
          <w:tblCellSpacing w:w="0" w:type="dxa"/>
        </w:trPr>
        <w:tc>
          <w:tcPr>
            <w:tcW w:w="2250"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hyperlink r:id="rId13" w:history="1">
              <w:r w:rsidRPr="00CD02E7">
                <w:rPr>
                  <w:rFonts w:ascii="Verdana" w:eastAsia="Times New Roman" w:hAnsi="Verdana" w:cs="Times New Roman"/>
                  <w:b/>
                  <w:bCs/>
                  <w:color w:val="0000FF"/>
                  <w:sz w:val="15"/>
                  <w:szCs w:val="15"/>
                  <w:u w:val="single"/>
                  <w:bdr w:val="none" w:sz="0" w:space="0" w:color="auto" w:frame="1"/>
                </w:rPr>
                <w:t>Bargaining Unit</w:t>
              </w:r>
            </w:hyperlink>
            <w:r w:rsidRPr="00CD02E7">
              <w:rPr>
                <w:rFonts w:ascii="Verdana" w:eastAsia="Times New Roman" w:hAnsi="Verdana" w:cs="Times New Roman"/>
                <w:b/>
                <w:bCs/>
                <w:sz w:val="15"/>
                <w:szCs w:val="15"/>
              </w:rPr>
              <w:t>:</w:t>
            </w:r>
          </w:p>
        </w:tc>
        <w:tc>
          <w:tcPr>
            <w:tcW w:w="4875"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r w:rsidRPr="00CD02E7">
              <w:rPr>
                <w:rFonts w:ascii="Verdana" w:eastAsia="Times New Roman" w:hAnsi="Verdana" w:cs="Times New Roman"/>
                <w:sz w:val="15"/>
                <w:szCs w:val="15"/>
              </w:rPr>
              <w:t>Non-Represented</w:t>
            </w:r>
          </w:p>
        </w:tc>
      </w:tr>
      <w:tr w:rsidR="00CD02E7" w:rsidRPr="00CD02E7" w:rsidTr="00CD02E7">
        <w:trPr>
          <w:tblCellSpacing w:w="0" w:type="dxa"/>
        </w:trPr>
        <w:tc>
          <w:tcPr>
            <w:tcW w:w="2250"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hyperlink r:id="rId14" w:history="1">
              <w:r w:rsidRPr="00CD02E7">
                <w:rPr>
                  <w:rFonts w:ascii="Verdana" w:eastAsia="Times New Roman" w:hAnsi="Verdana" w:cs="Times New Roman"/>
                  <w:b/>
                  <w:bCs/>
                  <w:color w:val="0000FF"/>
                  <w:sz w:val="15"/>
                  <w:szCs w:val="15"/>
                  <w:u w:val="single"/>
                  <w:bdr w:val="none" w:sz="0" w:space="0" w:color="auto" w:frame="1"/>
                </w:rPr>
                <w:t>Area of Competition</w:t>
              </w:r>
            </w:hyperlink>
            <w:r w:rsidRPr="00CD02E7">
              <w:rPr>
                <w:rFonts w:ascii="Verdana" w:eastAsia="Times New Roman" w:hAnsi="Verdana" w:cs="Times New Roman"/>
                <w:b/>
                <w:bCs/>
                <w:sz w:val="15"/>
                <w:szCs w:val="15"/>
              </w:rPr>
              <w:t>:</w:t>
            </w:r>
          </w:p>
        </w:tc>
        <w:tc>
          <w:tcPr>
            <w:tcW w:w="4875"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r w:rsidRPr="00CD02E7">
              <w:rPr>
                <w:rFonts w:ascii="Verdana" w:eastAsia="Times New Roman" w:hAnsi="Verdana" w:cs="Times New Roman"/>
                <w:sz w:val="15"/>
                <w:szCs w:val="15"/>
              </w:rPr>
              <w:t>Open</w:t>
            </w:r>
          </w:p>
        </w:tc>
      </w:tr>
      <w:tr w:rsidR="00CD02E7" w:rsidRPr="00CD02E7" w:rsidTr="00CD02E7">
        <w:trPr>
          <w:tblCellSpacing w:w="0" w:type="dxa"/>
        </w:trPr>
        <w:tc>
          <w:tcPr>
            <w:tcW w:w="2250"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hyperlink r:id="rId15" w:history="1">
              <w:r w:rsidRPr="00CD02E7">
                <w:rPr>
                  <w:rFonts w:ascii="Verdana" w:eastAsia="Times New Roman" w:hAnsi="Verdana" w:cs="Times New Roman"/>
                  <w:b/>
                  <w:bCs/>
                  <w:color w:val="0000FF"/>
                  <w:sz w:val="15"/>
                  <w:szCs w:val="15"/>
                  <w:u w:val="single"/>
                  <w:bdr w:val="none" w:sz="0" w:space="0" w:color="auto" w:frame="1"/>
                </w:rPr>
                <w:t>Deadline to Apply</w:t>
              </w:r>
            </w:hyperlink>
            <w:r w:rsidRPr="00CD02E7">
              <w:rPr>
                <w:rFonts w:ascii="Verdana" w:eastAsia="Times New Roman" w:hAnsi="Verdana" w:cs="Times New Roman"/>
                <w:b/>
                <w:bCs/>
                <w:sz w:val="15"/>
                <w:szCs w:val="15"/>
              </w:rPr>
              <w:t>:</w:t>
            </w:r>
          </w:p>
        </w:tc>
        <w:tc>
          <w:tcPr>
            <w:tcW w:w="4875" w:type="dxa"/>
            <w:shd w:val="clear" w:color="auto" w:fill="FFFFFF"/>
            <w:hideMark/>
          </w:tcPr>
          <w:p w:rsidR="00CD02E7" w:rsidRPr="00CD02E7" w:rsidRDefault="00CD02E7" w:rsidP="00CD02E7">
            <w:pPr>
              <w:spacing w:after="240" w:line="240" w:lineRule="auto"/>
              <w:rPr>
                <w:rFonts w:ascii="Times New Roman" w:eastAsia="Times New Roman" w:hAnsi="Times New Roman" w:cs="Times New Roman"/>
                <w:sz w:val="24"/>
                <w:szCs w:val="24"/>
              </w:rPr>
            </w:pPr>
            <w:r w:rsidRPr="00CD02E7">
              <w:rPr>
                <w:rFonts w:ascii="Verdana" w:eastAsia="Times New Roman" w:hAnsi="Verdana" w:cs="Times New Roman"/>
                <w:sz w:val="15"/>
                <w:szCs w:val="15"/>
              </w:rPr>
              <w:t>8/26/2019</w:t>
            </w:r>
          </w:p>
        </w:tc>
      </w:tr>
      <w:tr w:rsidR="00CD02E7" w:rsidRPr="00CD02E7" w:rsidTr="00CD02E7">
        <w:trPr>
          <w:tblCellSpacing w:w="0" w:type="dxa"/>
        </w:trPr>
        <w:tc>
          <w:tcPr>
            <w:tcW w:w="2250"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hyperlink r:id="rId16" w:history="1">
              <w:r w:rsidRPr="00CD02E7">
                <w:rPr>
                  <w:rFonts w:ascii="Verdana" w:eastAsia="Times New Roman" w:hAnsi="Verdana" w:cs="Times New Roman"/>
                  <w:b/>
                  <w:bCs/>
                  <w:color w:val="0000FF"/>
                  <w:sz w:val="15"/>
                  <w:szCs w:val="15"/>
                  <w:u w:val="single"/>
                  <w:bdr w:val="none" w:sz="0" w:space="0" w:color="auto" w:frame="1"/>
                </w:rPr>
                <w:t>Assessment Information</w:t>
              </w:r>
            </w:hyperlink>
            <w:r w:rsidRPr="00CD02E7">
              <w:rPr>
                <w:rFonts w:ascii="Verdana" w:eastAsia="Times New Roman" w:hAnsi="Verdana" w:cs="Times New Roman"/>
                <w:b/>
                <w:bCs/>
                <w:sz w:val="15"/>
                <w:szCs w:val="15"/>
              </w:rPr>
              <w:t>:</w:t>
            </w:r>
          </w:p>
        </w:tc>
        <w:tc>
          <w:tcPr>
            <w:tcW w:w="4875" w:type="dxa"/>
            <w:shd w:val="clear" w:color="auto" w:fill="FFFFFF"/>
            <w:hideMark/>
          </w:tcPr>
          <w:p w:rsidR="00CD02E7" w:rsidRPr="00CD02E7" w:rsidRDefault="00CD02E7" w:rsidP="00CD02E7">
            <w:pPr>
              <w:spacing w:after="0" w:line="240" w:lineRule="auto"/>
              <w:rPr>
                <w:rFonts w:ascii="Times New Roman" w:eastAsia="Times New Roman" w:hAnsi="Times New Roman" w:cs="Times New Roman"/>
                <w:sz w:val="24"/>
                <w:szCs w:val="24"/>
              </w:rPr>
            </w:pPr>
            <w:r w:rsidRPr="00CD02E7">
              <w:rPr>
                <w:rFonts w:ascii="Verdana" w:eastAsia="Times New Roman" w:hAnsi="Verdana" w:cs="Times New Roman"/>
                <w:sz w:val="15"/>
                <w:szCs w:val="15"/>
              </w:rPr>
              <w:t>42802 -  006  TOXICOLOGIST-SEN  </w:t>
            </w:r>
            <w:r w:rsidRPr="00CD02E7">
              <w:rPr>
                <w:rFonts w:ascii="Verdana" w:eastAsia="Times New Roman" w:hAnsi="Verdana" w:cs="Times New Roman"/>
                <w:sz w:val="24"/>
                <w:szCs w:val="24"/>
              </w:rPr>
              <w:br/>
            </w:r>
            <w:hyperlink r:id="rId17" w:tgtFrame="new" w:history="1">
              <w:r w:rsidRPr="00CD02E7">
                <w:rPr>
                  <w:rFonts w:ascii="Verdana" w:eastAsia="Times New Roman" w:hAnsi="Verdana" w:cs="Times New Roman"/>
                  <w:color w:val="000099"/>
                  <w:sz w:val="24"/>
                  <w:szCs w:val="24"/>
                  <w:u w:val="single"/>
                  <w:bdr w:val="none" w:sz="0" w:space="0" w:color="auto" w:frame="1"/>
                </w:rPr>
                <w:t>Preview Assessment</w:t>
              </w:r>
            </w:hyperlink>
            <w:r w:rsidRPr="00CD02E7">
              <w:rPr>
                <w:rFonts w:ascii="Verdana" w:eastAsia="Times New Roman" w:hAnsi="Verdana" w:cs="Times New Roman"/>
                <w:sz w:val="24"/>
                <w:szCs w:val="24"/>
              </w:rPr>
              <w:t>  </w:t>
            </w:r>
          </w:p>
        </w:tc>
      </w:tr>
      <w:tr w:rsidR="00CD02E7" w:rsidRPr="00CD02E7" w:rsidTr="00CD02E7">
        <w:trPr>
          <w:tblCellSpacing w:w="0" w:type="dxa"/>
        </w:trPr>
        <w:tc>
          <w:tcPr>
            <w:tcW w:w="0" w:type="auto"/>
            <w:gridSpan w:val="2"/>
            <w:shd w:val="clear" w:color="auto" w:fill="FFFFFF"/>
            <w:hideMark/>
          </w:tcPr>
          <w:p w:rsidR="00CD02E7" w:rsidRPr="00CD02E7" w:rsidRDefault="00CD02E7" w:rsidP="00CD02E7">
            <w:pPr>
              <w:spacing w:after="0" w:line="240" w:lineRule="auto"/>
              <w:jc w:val="right"/>
              <w:rPr>
                <w:rFonts w:ascii="Times New Roman" w:eastAsia="Times New Roman" w:hAnsi="Times New Roman" w:cs="Times New Roman"/>
                <w:sz w:val="24"/>
                <w:szCs w:val="24"/>
              </w:rPr>
            </w:pPr>
            <w:r w:rsidRPr="00CD02E7">
              <w:rPr>
                <w:rFonts w:ascii="Times New Roman" w:eastAsia="Times New Roman" w:hAnsi="Times New Roman" w:cs="Times New Roman"/>
                <w:noProof/>
                <w:sz w:val="24"/>
                <w:szCs w:val="24"/>
              </w:rPr>
              <w:drawing>
                <wp:inline distT="0" distB="0" distL="0" distR="0" wp14:anchorId="56C9430C" wp14:editId="01CA6225">
                  <wp:extent cx="9525" cy="47625"/>
                  <wp:effectExtent l="0" t="0" r="0" b="0"/>
                  <wp:docPr id="10" name="Picture 10" descr="http://wisc.jobs/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isc.jobs/public/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CD02E7" w:rsidRPr="00CD02E7" w:rsidTr="00CD02E7">
        <w:trPr>
          <w:tblCellSpacing w:w="0" w:type="dxa"/>
        </w:trPr>
        <w:tc>
          <w:tcPr>
            <w:tcW w:w="0" w:type="auto"/>
            <w:shd w:val="clear" w:color="auto" w:fill="FFFFFF"/>
            <w:vAlign w:val="center"/>
            <w:hideMark/>
          </w:tcPr>
          <w:p w:rsidR="00CD02E7" w:rsidRPr="00CD02E7" w:rsidRDefault="00CD02E7" w:rsidP="00CD02E7">
            <w:pPr>
              <w:spacing w:after="0" w:line="240" w:lineRule="auto"/>
              <w:jc w:val="right"/>
              <w:rPr>
                <w:rFonts w:ascii="Times New Roman" w:eastAsia="Times New Roman" w:hAnsi="Times New Roman" w:cs="Times New Roman"/>
                <w:sz w:val="24"/>
                <w:szCs w:val="24"/>
              </w:rPr>
            </w:pPr>
          </w:p>
        </w:tc>
        <w:tc>
          <w:tcPr>
            <w:tcW w:w="0" w:type="auto"/>
            <w:shd w:val="clear" w:color="auto" w:fill="FFFFFF"/>
            <w:vAlign w:val="center"/>
            <w:hideMark/>
          </w:tcPr>
          <w:p w:rsidR="00CD02E7" w:rsidRPr="00CD02E7" w:rsidRDefault="00CD02E7" w:rsidP="00CD02E7">
            <w:pPr>
              <w:spacing w:after="0" w:line="240" w:lineRule="auto"/>
              <w:rPr>
                <w:rFonts w:ascii="Times New Roman" w:eastAsia="Times New Roman" w:hAnsi="Times New Roman" w:cs="Times New Roman"/>
                <w:sz w:val="20"/>
                <w:szCs w:val="20"/>
              </w:rPr>
            </w:pPr>
          </w:p>
        </w:tc>
      </w:tr>
    </w:tbl>
    <w:p w:rsidR="00CD02E7" w:rsidRPr="00CD02E7" w:rsidRDefault="00CD02E7" w:rsidP="00CD02E7">
      <w:pPr>
        <w:spacing w:after="0" w:line="240" w:lineRule="auto"/>
        <w:rPr>
          <w:rFonts w:ascii="Arial" w:eastAsia="Times New Roman" w:hAnsi="Arial" w:cs="Arial"/>
          <w:vanish/>
          <w:color w:val="000000"/>
          <w:sz w:val="20"/>
          <w:szCs w:val="20"/>
          <w:shd w:val="clear" w:color="auto" w:fill="FFFFFF"/>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CD02E7" w:rsidRPr="00CD02E7" w:rsidTr="00CD02E7">
        <w:trPr>
          <w:tblCellSpacing w:w="15" w:type="dxa"/>
        </w:trPr>
        <w:tc>
          <w:tcPr>
            <w:tcW w:w="0" w:type="auto"/>
            <w:vAlign w:val="center"/>
            <w:hideMark/>
          </w:tcPr>
          <w:p w:rsidR="00CD02E7" w:rsidRPr="00CD02E7" w:rsidRDefault="00CD02E7" w:rsidP="00CD02E7">
            <w:pPr>
              <w:spacing w:after="0" w:line="240" w:lineRule="auto"/>
              <w:rPr>
                <w:rFonts w:ascii="Verdana" w:eastAsia="Times New Roman" w:hAnsi="Verdana" w:cs="Times New Roman"/>
                <w:sz w:val="20"/>
                <w:szCs w:val="20"/>
              </w:rPr>
            </w:pPr>
            <w:r w:rsidRPr="00CD02E7">
              <w:rPr>
                <w:rFonts w:ascii="Calibri Light" w:eastAsia="Times New Roman" w:hAnsi="Calibri Light" w:cs="Calibri Light"/>
              </w:rPr>
              <w:t>The Department of Justice is searching for a talented Toxicologist to work in our Madison Crime Laboratory. The newly created Division of Forensic Services has three ANAB accredited crime laboratories located in Madison, Milwaukee, and Wausau.  The laboratories provide a variety of services to law enforcement agencies, including crime scene response.</w:t>
            </w:r>
          </w:p>
          <w:p w:rsidR="00CD02E7" w:rsidRPr="00CD02E7" w:rsidRDefault="00CD02E7" w:rsidP="00CD02E7">
            <w:pPr>
              <w:spacing w:after="0" w:line="240" w:lineRule="auto"/>
              <w:rPr>
                <w:rFonts w:ascii="Verdana" w:eastAsia="Times New Roman" w:hAnsi="Verdana" w:cs="Times New Roman"/>
                <w:sz w:val="20"/>
                <w:szCs w:val="20"/>
              </w:rPr>
            </w:pPr>
          </w:p>
          <w:p w:rsidR="00CD02E7" w:rsidRPr="00CD02E7" w:rsidRDefault="00CD02E7" w:rsidP="00CD02E7">
            <w:pPr>
              <w:spacing w:line="240" w:lineRule="auto"/>
              <w:rPr>
                <w:rFonts w:ascii="Verdana" w:eastAsia="Times New Roman" w:hAnsi="Verdana" w:cs="Times New Roman"/>
                <w:sz w:val="20"/>
                <w:szCs w:val="20"/>
              </w:rPr>
            </w:pPr>
            <w:r w:rsidRPr="00CD02E7">
              <w:rPr>
                <w:rFonts w:ascii="Calibri Light" w:eastAsia="Times New Roman" w:hAnsi="Calibri Light" w:cs="Calibri Light"/>
              </w:rPr>
              <w:t>Madison, WI and the surrounding communities are diverse in activities, culture, music and food. There is a place for everyone! There are many opportunities for outside activities year-round, from ice fishing in the winter; to beautiful bike trails in the spring and fall; then lake activities in the summer. There are also plenty of art venues, including a great music atmosphere. </w:t>
            </w:r>
            <w:r w:rsidRPr="00CD02E7">
              <w:rPr>
                <w:rFonts w:ascii="Calibri Light" w:eastAsia="Times New Roman" w:hAnsi="Calibri Light" w:cs="Calibri Light"/>
              </w:rPr>
              <w:br/>
            </w:r>
            <w:r w:rsidRPr="00CD02E7">
              <w:rPr>
                <w:rFonts w:ascii="Calibri Light" w:eastAsia="Times New Roman" w:hAnsi="Calibri Light" w:cs="Calibri Light"/>
              </w:rPr>
              <w:br/>
              <w:t>The Madison Crime Laboratory is located the west side of Madison, close to shopping centers and restaurants. The Madison Metro Bus has a stop in from of the laboratory for those that prefer public transportation. For those that may want to commute from a smaller community, there are main roads that allow easy access to highways.</w:t>
            </w:r>
          </w:p>
          <w:p w:rsidR="00CD02E7" w:rsidRPr="00CD02E7" w:rsidRDefault="00CD02E7" w:rsidP="00CD02E7">
            <w:pPr>
              <w:spacing w:after="0" w:line="240" w:lineRule="auto"/>
              <w:rPr>
                <w:rFonts w:ascii="Verdana" w:eastAsia="Times New Roman" w:hAnsi="Verdana" w:cs="Times New Roman"/>
                <w:sz w:val="20"/>
                <w:szCs w:val="20"/>
              </w:rPr>
            </w:pPr>
            <w:hyperlink r:id="rId19" w:history="1">
              <w:r w:rsidRPr="00CD02E7">
                <w:rPr>
                  <w:rFonts w:ascii="Verdana" w:eastAsia="Times New Roman" w:hAnsi="Verdana" w:cs="Times New Roman"/>
                  <w:b/>
                  <w:bCs/>
                  <w:color w:val="0000FF"/>
                  <w:sz w:val="20"/>
                  <w:szCs w:val="20"/>
                  <w:u w:val="single"/>
                  <w:bdr w:val="none" w:sz="0" w:space="0" w:color="auto" w:frame="1"/>
                </w:rPr>
                <w:t>Position Summary</w:t>
              </w:r>
            </w:hyperlink>
            <w:r w:rsidRPr="00CD02E7">
              <w:rPr>
                <w:rFonts w:ascii="Verdana" w:eastAsia="Times New Roman" w:hAnsi="Verdana" w:cs="Times New Roman"/>
                <w:b/>
                <w:bCs/>
                <w:sz w:val="20"/>
                <w:szCs w:val="20"/>
              </w:rPr>
              <w:t>:</w:t>
            </w:r>
            <w:r w:rsidRPr="00CD02E7">
              <w:rPr>
                <w:rFonts w:ascii="Times New Roman" w:eastAsia="Times New Roman" w:hAnsi="Times New Roman" w:cs="Times New Roman"/>
                <w:sz w:val="24"/>
                <w:szCs w:val="24"/>
              </w:rPr>
              <w:t> </w:t>
            </w:r>
            <w:r w:rsidRPr="00CD02E7">
              <w:rPr>
                <w:rFonts w:ascii="Verdana" w:eastAsia="Times New Roman" w:hAnsi="Verdana" w:cs="Times New Roman"/>
                <w:sz w:val="20"/>
                <w:szCs w:val="20"/>
              </w:rPr>
              <w:t>  </w:t>
            </w:r>
          </w:p>
          <w:p w:rsidR="00CD02E7" w:rsidRPr="00CD02E7" w:rsidRDefault="00CD02E7" w:rsidP="00CD02E7">
            <w:pPr>
              <w:spacing w:after="0" w:line="240" w:lineRule="auto"/>
              <w:rPr>
                <w:rFonts w:ascii="Verdana" w:eastAsia="Times New Roman" w:hAnsi="Verdana" w:cs="Times New Roman"/>
                <w:sz w:val="20"/>
                <w:szCs w:val="20"/>
              </w:rPr>
            </w:pPr>
            <w:r w:rsidRPr="00CD02E7">
              <w:rPr>
                <w:rFonts w:ascii="Calibri Light" w:eastAsia="Times New Roman" w:hAnsi="Calibri Light" w:cs="Calibri Light"/>
              </w:rPr>
              <w:t xml:space="preserve">The Toxicology Unit test blood and other body fluids or tissue samples for alcohol, controlled substances, and occasionally poisons. These tests assist investigations of crimes where alcohol or drug use may be implicated and provide support in determining the cause and manner of death. This position will provide highly complex </w:t>
            </w:r>
            <w:r w:rsidRPr="00CD02E7">
              <w:rPr>
                <w:rFonts w:ascii="Calibri Light" w:eastAsia="Times New Roman" w:hAnsi="Calibri Light" w:cs="Calibri Light"/>
              </w:rPr>
              <w:lastRenderedPageBreak/>
              <w:t>scientific analyses of such samples and apply related state statutes, rule regulations, administrative codes, and accreditation standards. The incumbent will have learned scientific principles and practices through post-secondary education in chemistry courses or equivalent job experience.</w:t>
            </w:r>
          </w:p>
          <w:p w:rsidR="00CD02E7" w:rsidRPr="00CD02E7" w:rsidRDefault="00CD02E7" w:rsidP="00CD02E7">
            <w:pPr>
              <w:spacing w:before="100" w:beforeAutospacing="1" w:after="100" w:afterAutospacing="1" w:line="240" w:lineRule="auto"/>
              <w:rPr>
                <w:rFonts w:ascii="Times New Roman" w:eastAsia="Times New Roman" w:hAnsi="Times New Roman" w:cs="Times New Roman"/>
                <w:sz w:val="24"/>
                <w:szCs w:val="24"/>
              </w:rPr>
            </w:pPr>
            <w:hyperlink r:id="rId20" w:history="1">
              <w:r w:rsidRPr="00CD02E7">
                <w:rPr>
                  <w:rFonts w:ascii="Verdana" w:eastAsia="Times New Roman" w:hAnsi="Verdana" w:cs="Times New Roman"/>
                  <w:b/>
                  <w:bCs/>
                  <w:color w:val="0000FF"/>
                  <w:sz w:val="20"/>
                  <w:szCs w:val="20"/>
                  <w:u w:val="single"/>
                  <w:bdr w:val="none" w:sz="0" w:space="0" w:color="auto" w:frame="1"/>
                </w:rPr>
                <w:t>Special Notes</w:t>
              </w:r>
            </w:hyperlink>
            <w:r w:rsidRPr="00CD02E7">
              <w:rPr>
                <w:rFonts w:ascii="Verdana" w:eastAsia="Times New Roman" w:hAnsi="Verdana" w:cs="Times New Roman"/>
                <w:b/>
                <w:bCs/>
                <w:sz w:val="20"/>
                <w:szCs w:val="20"/>
              </w:rPr>
              <w:t>:</w:t>
            </w:r>
            <w:r w:rsidRPr="00CD02E7">
              <w:rPr>
                <w:rFonts w:ascii="Times New Roman" w:eastAsia="Times New Roman" w:hAnsi="Times New Roman" w:cs="Times New Roman"/>
                <w:sz w:val="24"/>
                <w:szCs w:val="24"/>
              </w:rPr>
              <w:t> </w:t>
            </w:r>
            <w:r w:rsidRPr="00CD02E7">
              <w:rPr>
                <w:rFonts w:ascii="Verdana" w:eastAsia="Times New Roman" w:hAnsi="Verdana" w:cs="Times New Roman"/>
                <w:sz w:val="20"/>
                <w:szCs w:val="20"/>
              </w:rPr>
              <w:t>  </w:t>
            </w:r>
          </w:p>
          <w:p w:rsidR="00CD02E7" w:rsidRPr="00CD02E7" w:rsidRDefault="00CD02E7" w:rsidP="00CD02E7">
            <w:pPr>
              <w:spacing w:line="240" w:lineRule="auto"/>
              <w:rPr>
                <w:rFonts w:ascii="Times New Roman" w:eastAsia="Times New Roman" w:hAnsi="Times New Roman" w:cs="Times New Roman"/>
                <w:sz w:val="24"/>
                <w:szCs w:val="24"/>
              </w:rPr>
            </w:pPr>
            <w:r w:rsidRPr="00CD02E7">
              <w:rPr>
                <w:rFonts w:ascii="Calibri Light" w:eastAsia="Times New Roman" w:hAnsi="Calibri Light" w:cs="Calibri Light"/>
                <w:i/>
                <w:iCs/>
              </w:rPr>
              <w:t>The Department of Justice does not sponsor work visas. All persons hired will be required to verify identity and eligibility to work in the United States and complete the required Employment Eligibility Form I-9.</w:t>
            </w:r>
          </w:p>
          <w:p w:rsidR="00CD02E7" w:rsidRPr="00CD02E7" w:rsidRDefault="00CD02E7" w:rsidP="00CD02E7">
            <w:pPr>
              <w:spacing w:after="0" w:line="240" w:lineRule="auto"/>
              <w:rPr>
                <w:rFonts w:ascii="Verdana" w:eastAsia="Times New Roman" w:hAnsi="Verdana" w:cs="Times New Roman"/>
                <w:sz w:val="20"/>
                <w:szCs w:val="20"/>
              </w:rPr>
            </w:pPr>
          </w:p>
          <w:p w:rsidR="00CD02E7" w:rsidRPr="00CD02E7" w:rsidRDefault="00CD02E7" w:rsidP="00CD02E7">
            <w:pPr>
              <w:spacing w:after="0" w:line="240" w:lineRule="auto"/>
              <w:rPr>
                <w:rFonts w:ascii="Verdana" w:eastAsia="Times New Roman" w:hAnsi="Verdana" w:cs="Times New Roman"/>
                <w:sz w:val="20"/>
                <w:szCs w:val="20"/>
              </w:rPr>
            </w:pPr>
            <w:r w:rsidRPr="00CD02E7">
              <w:rPr>
                <w:rFonts w:ascii="Calibri Light" w:eastAsia="Times New Roman" w:hAnsi="Calibri Light" w:cs="Calibri Light"/>
                <w:i/>
                <w:iCs/>
              </w:rPr>
              <w:t>The Department of Justice will conduct an extensive background check on applicants prior to the selection. All new DOJ employees will be fingerprinted, prior to first day of work.</w:t>
            </w:r>
          </w:p>
          <w:p w:rsidR="00CD02E7" w:rsidRPr="00CD02E7" w:rsidRDefault="00CD02E7" w:rsidP="00CD02E7">
            <w:pPr>
              <w:spacing w:before="100" w:beforeAutospacing="1" w:after="100" w:afterAutospacing="1" w:line="240" w:lineRule="auto"/>
              <w:rPr>
                <w:rFonts w:ascii="Times New Roman" w:eastAsia="Times New Roman" w:hAnsi="Times New Roman" w:cs="Times New Roman"/>
                <w:sz w:val="24"/>
                <w:szCs w:val="24"/>
              </w:rPr>
            </w:pPr>
            <w:hyperlink r:id="rId21" w:history="1">
              <w:r w:rsidRPr="00CD02E7">
                <w:rPr>
                  <w:rFonts w:ascii="Verdana" w:eastAsia="Times New Roman" w:hAnsi="Verdana" w:cs="Times New Roman"/>
                  <w:b/>
                  <w:bCs/>
                  <w:color w:val="0000FF"/>
                  <w:sz w:val="20"/>
                  <w:szCs w:val="20"/>
                  <w:u w:val="single"/>
                  <w:bdr w:val="none" w:sz="0" w:space="0" w:color="auto" w:frame="1"/>
                </w:rPr>
                <w:t>Qualifications</w:t>
              </w:r>
            </w:hyperlink>
            <w:r w:rsidRPr="00CD02E7">
              <w:rPr>
                <w:rFonts w:ascii="Verdana" w:eastAsia="Times New Roman" w:hAnsi="Verdana" w:cs="Times New Roman"/>
                <w:b/>
                <w:bCs/>
                <w:sz w:val="20"/>
                <w:szCs w:val="20"/>
              </w:rPr>
              <w:t>:</w:t>
            </w:r>
            <w:r w:rsidRPr="00CD02E7">
              <w:rPr>
                <w:rFonts w:ascii="Times New Roman" w:eastAsia="Times New Roman" w:hAnsi="Times New Roman" w:cs="Times New Roman"/>
                <w:sz w:val="24"/>
                <w:szCs w:val="24"/>
              </w:rPr>
              <w:t> </w:t>
            </w:r>
            <w:r w:rsidRPr="00CD02E7">
              <w:rPr>
                <w:rFonts w:ascii="Verdana" w:eastAsia="Times New Roman" w:hAnsi="Verdana" w:cs="Times New Roman"/>
                <w:sz w:val="20"/>
                <w:szCs w:val="20"/>
              </w:rPr>
              <w:t>  </w:t>
            </w:r>
          </w:p>
          <w:p w:rsidR="00CD02E7" w:rsidRPr="00CD02E7" w:rsidRDefault="00CD02E7" w:rsidP="00CD02E7">
            <w:pPr>
              <w:spacing w:after="0" w:line="240" w:lineRule="auto"/>
              <w:rPr>
                <w:rFonts w:ascii="Times New Roman" w:eastAsia="Times New Roman" w:hAnsi="Times New Roman" w:cs="Times New Roman"/>
                <w:sz w:val="24"/>
                <w:szCs w:val="24"/>
              </w:rPr>
            </w:pPr>
            <w:r w:rsidRPr="00CD02E7">
              <w:rPr>
                <w:rFonts w:ascii="Calibri Light" w:eastAsia="Times New Roman" w:hAnsi="Calibri Light" w:cs="Calibri Light"/>
              </w:rPr>
              <w:t>A minimally qualified applicant must have education, training, or experience with the following: </w:t>
            </w:r>
            <w:r w:rsidRPr="00CD02E7">
              <w:rPr>
                <w:rFonts w:ascii="Calibri Light" w:eastAsia="Times New Roman" w:hAnsi="Calibri Light" w:cs="Calibri Light"/>
              </w:rPr>
              <w:br/>
              <w:t>1) Analyzing antemortem and/or postmortem biological fluids for the presence of alcohol and/or drugs using HSGC with FID, GCMS, or LC/MS/MS. </w:t>
            </w:r>
            <w:r w:rsidRPr="00CD02E7">
              <w:rPr>
                <w:rFonts w:ascii="Calibri Light" w:eastAsia="Times New Roman" w:hAnsi="Calibri Light" w:cs="Calibri Light"/>
              </w:rPr>
              <w:br/>
              <w:t>2) Quality control and routine maintenance of instruments in a laboratory setting. </w:t>
            </w:r>
            <w:r w:rsidRPr="00CD02E7">
              <w:rPr>
                <w:rFonts w:ascii="Calibri Light" w:eastAsia="Times New Roman" w:hAnsi="Calibri Light" w:cs="Calibri Light"/>
              </w:rPr>
              <w:br/>
              <w:t>3) Extraction of compounds from biological fluids using multiple techniques including but not limited to solid-phase and liquid-liquid techniques.</w:t>
            </w:r>
            <w:r w:rsidRPr="00CD02E7">
              <w:rPr>
                <w:rFonts w:ascii="Calibri Light" w:eastAsia="Times New Roman" w:hAnsi="Calibri Light" w:cs="Calibri Light"/>
              </w:rPr>
              <w:br/>
            </w:r>
          </w:p>
          <w:p w:rsidR="00CD02E7" w:rsidRPr="00CD02E7" w:rsidRDefault="00CD02E7" w:rsidP="00CD02E7">
            <w:pPr>
              <w:spacing w:after="0" w:line="240" w:lineRule="auto"/>
              <w:rPr>
                <w:rFonts w:ascii="Courier New" w:eastAsia="Times New Roman" w:hAnsi="Courier New" w:cs="Courier New"/>
                <w:sz w:val="20"/>
                <w:szCs w:val="20"/>
              </w:rPr>
            </w:pPr>
          </w:p>
          <w:p w:rsidR="00CD02E7" w:rsidRPr="00CD02E7" w:rsidRDefault="00CD02E7" w:rsidP="00CD02E7">
            <w:pPr>
              <w:spacing w:after="0" w:line="240" w:lineRule="auto"/>
              <w:rPr>
                <w:rFonts w:ascii="Courier New" w:eastAsia="Times New Roman" w:hAnsi="Courier New" w:cs="Courier New"/>
                <w:sz w:val="20"/>
                <w:szCs w:val="20"/>
              </w:rPr>
            </w:pPr>
            <w:r w:rsidRPr="00CD02E7">
              <w:rPr>
                <w:rFonts w:ascii="Calibri Light" w:eastAsia="Times New Roman" w:hAnsi="Calibri Light" w:cs="Calibri Light"/>
              </w:rPr>
              <w:t>In addition, highly qualified applicants will also have a combination of the following experience: </w:t>
            </w:r>
            <w:r w:rsidRPr="00CD02E7">
              <w:rPr>
                <w:rFonts w:ascii="Calibri Light" w:eastAsia="Times New Roman" w:hAnsi="Calibri Light" w:cs="Calibri Light"/>
              </w:rPr>
              <w:br/>
              <w:t>1) Conducting interpretations of toxicology analyses using training and scientific literature regarding alcohol and drug pharmacology. </w:t>
            </w:r>
            <w:r w:rsidRPr="00CD02E7">
              <w:rPr>
                <w:rFonts w:ascii="Calibri Light" w:eastAsia="Times New Roman" w:hAnsi="Calibri Light" w:cs="Calibri Light"/>
              </w:rPr>
              <w:br/>
              <w:t>2) Independently analyzing antemortem and/or postmortem biological fluids for the presence of alcohol and/or drugs using HSGC with FID, GCMS and LC/MS/MS. </w:t>
            </w:r>
            <w:r w:rsidRPr="00CD02E7">
              <w:rPr>
                <w:rFonts w:ascii="Calibri Light" w:eastAsia="Times New Roman" w:hAnsi="Calibri Light" w:cs="Calibri Light"/>
              </w:rPr>
              <w:br/>
              <w:t>3) Working in an accredited laboratory setting.</w:t>
            </w:r>
          </w:p>
          <w:p w:rsidR="00CD02E7" w:rsidRPr="00CD02E7" w:rsidRDefault="00CD02E7" w:rsidP="00CD02E7">
            <w:pPr>
              <w:spacing w:before="100" w:beforeAutospacing="1" w:after="100" w:afterAutospacing="1" w:line="240" w:lineRule="auto"/>
              <w:rPr>
                <w:rFonts w:ascii="Times New Roman" w:eastAsia="Times New Roman" w:hAnsi="Times New Roman" w:cs="Times New Roman"/>
                <w:sz w:val="24"/>
                <w:szCs w:val="24"/>
              </w:rPr>
            </w:pPr>
            <w:hyperlink r:id="rId22" w:history="1">
              <w:r w:rsidRPr="00CD02E7">
                <w:rPr>
                  <w:rFonts w:ascii="Verdana" w:eastAsia="Times New Roman" w:hAnsi="Verdana" w:cs="Times New Roman"/>
                  <w:b/>
                  <w:bCs/>
                  <w:color w:val="0000FF"/>
                  <w:sz w:val="20"/>
                  <w:szCs w:val="20"/>
                  <w:u w:val="single"/>
                  <w:bdr w:val="none" w:sz="0" w:space="0" w:color="auto" w:frame="1"/>
                </w:rPr>
                <w:t xml:space="preserve">How </w:t>
              </w:r>
              <w:proofErr w:type="gramStart"/>
              <w:r w:rsidRPr="00CD02E7">
                <w:rPr>
                  <w:rFonts w:ascii="Verdana" w:eastAsia="Times New Roman" w:hAnsi="Verdana" w:cs="Times New Roman"/>
                  <w:b/>
                  <w:bCs/>
                  <w:color w:val="0000FF"/>
                  <w:sz w:val="20"/>
                  <w:szCs w:val="20"/>
                  <w:u w:val="single"/>
                  <w:bdr w:val="none" w:sz="0" w:space="0" w:color="auto" w:frame="1"/>
                </w:rPr>
                <w:t>To</w:t>
              </w:r>
              <w:proofErr w:type="gramEnd"/>
              <w:r w:rsidRPr="00CD02E7">
                <w:rPr>
                  <w:rFonts w:ascii="Verdana" w:eastAsia="Times New Roman" w:hAnsi="Verdana" w:cs="Times New Roman"/>
                  <w:b/>
                  <w:bCs/>
                  <w:color w:val="0000FF"/>
                  <w:sz w:val="20"/>
                  <w:szCs w:val="20"/>
                  <w:u w:val="single"/>
                  <w:bdr w:val="none" w:sz="0" w:space="0" w:color="auto" w:frame="1"/>
                </w:rPr>
                <w:t xml:space="preserve"> Apply</w:t>
              </w:r>
            </w:hyperlink>
            <w:r w:rsidRPr="00CD02E7">
              <w:rPr>
                <w:rFonts w:ascii="Verdana" w:eastAsia="Times New Roman" w:hAnsi="Verdana" w:cs="Times New Roman"/>
                <w:b/>
                <w:bCs/>
                <w:sz w:val="20"/>
                <w:szCs w:val="20"/>
              </w:rPr>
              <w:t>:</w:t>
            </w:r>
            <w:r w:rsidRPr="00CD02E7">
              <w:rPr>
                <w:rFonts w:ascii="Times New Roman" w:eastAsia="Times New Roman" w:hAnsi="Times New Roman" w:cs="Times New Roman"/>
                <w:sz w:val="24"/>
                <w:szCs w:val="24"/>
              </w:rPr>
              <w:t> </w:t>
            </w:r>
            <w:r w:rsidRPr="00CD02E7">
              <w:rPr>
                <w:rFonts w:ascii="Verdana" w:eastAsia="Times New Roman" w:hAnsi="Verdana" w:cs="Times New Roman"/>
                <w:sz w:val="20"/>
                <w:szCs w:val="20"/>
              </w:rPr>
              <w:t>  </w:t>
            </w:r>
          </w:p>
          <w:p w:rsidR="00CD02E7" w:rsidRPr="00CD02E7" w:rsidRDefault="00CD02E7" w:rsidP="00CD02E7">
            <w:pPr>
              <w:spacing w:after="0" w:line="240" w:lineRule="auto"/>
              <w:rPr>
                <w:rFonts w:ascii="Times New Roman" w:eastAsia="Times New Roman" w:hAnsi="Times New Roman" w:cs="Times New Roman"/>
                <w:sz w:val="24"/>
                <w:szCs w:val="24"/>
              </w:rPr>
            </w:pPr>
            <w:r w:rsidRPr="00CD02E7">
              <w:rPr>
                <w:rFonts w:ascii="Calibri Light" w:eastAsia="Times New Roman" w:hAnsi="Calibri Light" w:cs="Calibri Light"/>
              </w:rPr>
              <w:t>Apply online</w:t>
            </w:r>
            <w:r>
              <w:rPr>
                <w:rFonts w:ascii="Calibri Light" w:eastAsia="Times New Roman" w:hAnsi="Calibri Light" w:cs="Calibri Light"/>
              </w:rPr>
              <w:t xml:space="preserve"> at </w:t>
            </w:r>
            <w:hyperlink r:id="rId23" w:history="1">
              <w:r w:rsidRPr="009D6531">
                <w:rPr>
                  <w:rStyle w:val="Hyperlink"/>
                  <w:rFonts w:ascii="Calibri Light" w:eastAsia="Times New Roman" w:hAnsi="Calibri Light" w:cs="Calibri Light"/>
                </w:rPr>
                <w:t>www.wisc.jobs</w:t>
              </w:r>
            </w:hyperlink>
            <w:r w:rsidRPr="00CD02E7">
              <w:rPr>
                <w:rFonts w:ascii="Calibri Light" w:eastAsia="Times New Roman" w:hAnsi="Calibri Light" w:cs="Calibri Light"/>
              </w:rPr>
              <w:t>!</w:t>
            </w:r>
            <w:r>
              <w:rPr>
                <w:rFonts w:ascii="Calibri Light" w:eastAsia="Times New Roman" w:hAnsi="Calibri Light" w:cs="Calibri Light"/>
              </w:rPr>
              <w:t xml:space="preserve"> </w:t>
            </w:r>
            <w:r w:rsidRPr="00CD02E7">
              <w:rPr>
                <w:rFonts w:ascii="Calibri Light" w:eastAsia="Times New Roman" w:hAnsi="Calibri Light" w:cs="Calibri Light"/>
              </w:rPr>
              <w:t xml:space="preserve"> Interested candidates will need to provide a letter of qualifications addressing the above criteria, resume, and transcript(s) (unofficial or official). If you do not currently have a Wisc.jobs account, you will need to create one. For instructions on how to create an account, </w:t>
            </w:r>
            <w:r>
              <w:rPr>
                <w:rFonts w:ascii="Calibri Light" w:eastAsia="Times New Roman" w:hAnsi="Calibri Light" w:cs="Calibri Light"/>
              </w:rPr>
              <w:t xml:space="preserve">please visit </w:t>
            </w:r>
            <w:hyperlink r:id="rId24" w:history="1">
              <w:r w:rsidRPr="009D6531">
                <w:rPr>
                  <w:rStyle w:val="Hyperlink"/>
                  <w:rFonts w:ascii="Calibri Light" w:eastAsia="Times New Roman" w:hAnsi="Calibri Light" w:cs="Calibri Light"/>
                </w:rPr>
                <w:t>www.wisc.jobs</w:t>
              </w:r>
            </w:hyperlink>
            <w:r>
              <w:rPr>
                <w:rFonts w:ascii="Calibri Light" w:eastAsia="Times New Roman" w:hAnsi="Calibri Light" w:cs="Calibri Light"/>
              </w:rPr>
              <w:t xml:space="preserve">. </w:t>
            </w:r>
            <w:r w:rsidRPr="00CD02E7">
              <w:rPr>
                <w:rFonts w:ascii="Calibri Light" w:eastAsia="Times New Roman" w:hAnsi="Calibri Light" w:cs="Calibri Light"/>
              </w:rPr>
              <w:t xml:space="preserve"> Application materials will not be accepted if received in an e-mail, fax or as a hard copy.</w:t>
            </w:r>
          </w:p>
          <w:p w:rsidR="00CD02E7" w:rsidRPr="00CD02E7" w:rsidRDefault="00CD02E7" w:rsidP="00CD02E7">
            <w:pPr>
              <w:spacing w:after="0" w:line="240" w:lineRule="auto"/>
              <w:rPr>
                <w:rFonts w:ascii="Verdana" w:eastAsia="Times New Roman" w:hAnsi="Verdana" w:cs="Times New Roman"/>
                <w:sz w:val="20"/>
                <w:szCs w:val="20"/>
              </w:rPr>
            </w:pPr>
          </w:p>
          <w:p w:rsidR="00CD02E7" w:rsidRPr="00CD02E7" w:rsidRDefault="00CD02E7" w:rsidP="00CD02E7">
            <w:pPr>
              <w:spacing w:after="0" w:line="240" w:lineRule="auto"/>
              <w:rPr>
                <w:rFonts w:ascii="Verdana" w:eastAsia="Times New Roman" w:hAnsi="Verdana" w:cs="Times New Roman"/>
                <w:sz w:val="20"/>
                <w:szCs w:val="20"/>
              </w:rPr>
            </w:pPr>
            <w:r w:rsidRPr="00CD02E7">
              <w:rPr>
                <w:rFonts w:ascii="Calibri Light" w:eastAsia="Times New Roman" w:hAnsi="Calibri Light" w:cs="Calibri Light"/>
              </w:rPr>
              <w:t>Application materials will be evaluated, and the most qualified applicants will be invited to participate in the next step of the selection process.</w:t>
            </w:r>
          </w:p>
          <w:p w:rsidR="00CD02E7" w:rsidRPr="00CD02E7" w:rsidRDefault="00CD02E7" w:rsidP="00CD02E7">
            <w:pPr>
              <w:spacing w:after="0" w:line="240" w:lineRule="auto"/>
              <w:rPr>
                <w:rFonts w:ascii="Verdana" w:eastAsia="Times New Roman" w:hAnsi="Verdana" w:cs="Times New Roman"/>
                <w:sz w:val="20"/>
                <w:szCs w:val="20"/>
              </w:rPr>
            </w:pPr>
          </w:p>
          <w:p w:rsidR="00CD02E7" w:rsidRPr="00CD02E7" w:rsidRDefault="00CD02E7" w:rsidP="00CD02E7">
            <w:pPr>
              <w:spacing w:after="0" w:line="240" w:lineRule="auto"/>
              <w:rPr>
                <w:rFonts w:ascii="Verdana" w:eastAsia="Times New Roman" w:hAnsi="Verdana" w:cs="Times New Roman"/>
                <w:sz w:val="20"/>
                <w:szCs w:val="20"/>
              </w:rPr>
            </w:pPr>
            <w:r w:rsidRPr="00CD02E7">
              <w:rPr>
                <w:rFonts w:ascii="Calibri Light" w:eastAsia="Times New Roman" w:hAnsi="Calibri Light" w:cs="Calibri Light"/>
              </w:rPr>
              <w:t>NOTE: Current/former State employees interested in a permissive transfer, demotion or reinstatement consideration must also apply.</w:t>
            </w:r>
          </w:p>
          <w:p w:rsidR="00CD02E7" w:rsidRPr="00CD02E7" w:rsidRDefault="00CD02E7" w:rsidP="00CD02E7">
            <w:pPr>
              <w:spacing w:after="0" w:line="240" w:lineRule="auto"/>
              <w:rPr>
                <w:rFonts w:ascii="Verdana" w:eastAsia="Times New Roman" w:hAnsi="Verdana" w:cs="Times New Roman"/>
                <w:sz w:val="20"/>
                <w:szCs w:val="20"/>
              </w:rPr>
            </w:pPr>
          </w:p>
          <w:p w:rsidR="00CD02E7" w:rsidRPr="00CD02E7" w:rsidRDefault="00CD02E7" w:rsidP="00CD02E7">
            <w:pPr>
              <w:spacing w:after="0" w:line="240" w:lineRule="auto"/>
              <w:rPr>
                <w:rFonts w:ascii="Verdana" w:eastAsia="Times New Roman" w:hAnsi="Verdana" w:cs="Times New Roman"/>
                <w:sz w:val="20"/>
                <w:szCs w:val="20"/>
              </w:rPr>
            </w:pPr>
            <w:r w:rsidRPr="00CD02E7">
              <w:rPr>
                <w:rFonts w:ascii="Calibri Light" w:eastAsia="Times New Roman" w:hAnsi="Calibri Light" w:cs="Calibri Light"/>
              </w:rPr>
              <w:t>Questions regarding this position can be directed to Donna Marchese at (608)266-0619 or </w:t>
            </w:r>
            <w:hyperlink r:id="rId25" w:history="1">
              <w:r w:rsidRPr="00CD02E7">
                <w:rPr>
                  <w:rStyle w:val="Hyperlink"/>
                  <w:rFonts w:ascii="Calibri Light" w:eastAsia="Times New Roman" w:hAnsi="Calibri Light" w:cs="Calibri Light"/>
                </w:rPr>
                <w:t>marchesedp@doj.state.wi.us</w:t>
              </w:r>
            </w:hyperlink>
            <w:r w:rsidRPr="00CD02E7">
              <w:rPr>
                <w:rFonts w:ascii="Calibri Light" w:eastAsia="Times New Roman" w:hAnsi="Calibri Light" w:cs="Calibri Light"/>
              </w:rPr>
              <w:t>.</w:t>
            </w:r>
            <w:r>
              <w:rPr>
                <w:rFonts w:ascii="Calibri Light" w:eastAsia="Times New Roman" w:hAnsi="Calibri Light" w:cs="Calibri Light"/>
              </w:rPr>
              <w:t xml:space="preserve"> </w:t>
            </w:r>
            <w:bookmarkStart w:id="0" w:name="_GoBack"/>
            <w:bookmarkEnd w:id="0"/>
          </w:p>
        </w:tc>
      </w:tr>
    </w:tbl>
    <w:p w:rsidR="002078C6" w:rsidRDefault="002078C6"/>
    <w:sectPr w:rsidR="0020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E7"/>
    <w:rsid w:val="002078C6"/>
    <w:rsid w:val="00CD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D5A7"/>
  <w15:chartTrackingRefBased/>
  <w15:docId w15:val="{415C793B-EED7-4B2C-AE82-3CF9682A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E7"/>
    <w:rPr>
      <w:rFonts w:ascii="Segoe UI" w:hAnsi="Segoe UI" w:cs="Segoe UI"/>
      <w:sz w:val="18"/>
      <w:szCs w:val="18"/>
    </w:rPr>
  </w:style>
  <w:style w:type="character" w:styleId="Hyperlink">
    <w:name w:val="Hyperlink"/>
    <w:basedOn w:val="DefaultParagraphFont"/>
    <w:uiPriority w:val="99"/>
    <w:unhideWhenUsed/>
    <w:rsid w:val="00CD02E7"/>
    <w:rPr>
      <w:color w:val="0563C1" w:themeColor="hyperlink"/>
      <w:u w:val="single"/>
    </w:rPr>
  </w:style>
  <w:style w:type="character" w:styleId="UnresolvedMention">
    <w:name w:val="Unresolved Mention"/>
    <w:basedOn w:val="DefaultParagraphFont"/>
    <w:uiPriority w:val="99"/>
    <w:semiHidden/>
    <w:unhideWhenUsed/>
    <w:rsid w:val="00CD0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Help(%22public_help.asp?help=JAC%22);" TargetMode="External"/><Relationship Id="rId13" Type="http://schemas.openxmlformats.org/officeDocument/2006/relationships/hyperlink" Target="javascript:openHelp(%22public_help.asp?help=Bargaining+Unit%22);" TargetMode="Externa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javascript:openHelp(%22public_help.asp?help=Qualifications%22);" TargetMode="External"/><Relationship Id="rId7" Type="http://schemas.openxmlformats.org/officeDocument/2006/relationships/hyperlink" Target="javascript:openHelp(%22public_help.asp?help=Classification+Title%22);" TargetMode="External"/><Relationship Id="rId12" Type="http://schemas.openxmlformats.org/officeDocument/2006/relationships/hyperlink" Target="javascript:openHelp(%22public_help.asp?help=Contact%22);" TargetMode="External"/><Relationship Id="rId17" Type="http://schemas.openxmlformats.org/officeDocument/2006/relationships/hyperlink" Target="http://wisc.jobs/public/ExamApplicantPreview.asp?txtExamID=35123" TargetMode="External"/><Relationship Id="rId25" Type="http://schemas.openxmlformats.org/officeDocument/2006/relationships/hyperlink" Target="mailto:marchesedp@doj.state.wi.us" TargetMode="External"/><Relationship Id="rId2" Type="http://schemas.openxmlformats.org/officeDocument/2006/relationships/settings" Target="settings.xml"/><Relationship Id="rId16" Type="http://schemas.openxmlformats.org/officeDocument/2006/relationships/hyperlink" Target="javascript:openHelp(%22public_help.asp?help=Assessment+Information%22);" TargetMode="External"/><Relationship Id="rId20" Type="http://schemas.openxmlformats.org/officeDocument/2006/relationships/hyperlink" Target="javascript:openHelp(%22public_help.asp?help=Special+Notes%22);" TargetMode="External"/><Relationship Id="rId1" Type="http://schemas.openxmlformats.org/officeDocument/2006/relationships/styles" Target="styles.xml"/><Relationship Id="rId6" Type="http://schemas.openxmlformats.org/officeDocument/2006/relationships/hyperlink" Target="javascript:openWin2(%22County.asp?cn=Dane.gif%22);" TargetMode="External"/><Relationship Id="rId11" Type="http://schemas.openxmlformats.org/officeDocument/2006/relationships/hyperlink" Target="javascript:openHelp(%22public_help.asp?help=Salary%22);" TargetMode="External"/><Relationship Id="rId24" Type="http://schemas.openxmlformats.org/officeDocument/2006/relationships/hyperlink" Target="http://www.wisc.jobs" TargetMode="External"/><Relationship Id="rId5" Type="http://schemas.openxmlformats.org/officeDocument/2006/relationships/hyperlink" Target="javascript:openwindow();" TargetMode="External"/><Relationship Id="rId15" Type="http://schemas.openxmlformats.org/officeDocument/2006/relationships/hyperlink" Target="javascript:openHelp(%22public_help.asp?help=Deadline+to+Apply%22);" TargetMode="External"/><Relationship Id="rId23" Type="http://schemas.openxmlformats.org/officeDocument/2006/relationships/hyperlink" Target="http://www.wisc.jobs" TargetMode="External"/><Relationship Id="rId10" Type="http://schemas.openxmlformats.org/officeDocument/2006/relationships/hyperlink" Target="javascript:openHelp(%22public_help.asp?help=Type+of+Employment%22);" TargetMode="External"/><Relationship Id="rId19" Type="http://schemas.openxmlformats.org/officeDocument/2006/relationships/hyperlink" Target="javascript:openHelp(%22public_help.asp?help=Position+Summary%22);" TargetMode="External"/><Relationship Id="rId4" Type="http://schemas.openxmlformats.org/officeDocument/2006/relationships/image" Target="media/image1.jpeg"/><Relationship Id="rId9" Type="http://schemas.openxmlformats.org/officeDocument/2006/relationships/hyperlink" Target="javascript:openHelp(%22public_help.asp?help=Job+Working+Title%22);" TargetMode="External"/><Relationship Id="rId14" Type="http://schemas.openxmlformats.org/officeDocument/2006/relationships/hyperlink" Target="javascript:openHelp(%22public_help.asp?help=Area+of+Competition%22);" TargetMode="External"/><Relationship Id="rId22" Type="http://schemas.openxmlformats.org/officeDocument/2006/relationships/hyperlink" Target="javascript:openHelp(%22public_help.asp?help=How+To+Apply%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Sara E.</dc:creator>
  <cp:keywords/>
  <dc:description/>
  <cp:lastModifiedBy>Martin, Sara E.</cp:lastModifiedBy>
  <cp:revision>1</cp:revision>
  <dcterms:created xsi:type="dcterms:W3CDTF">2019-08-14T13:50:00Z</dcterms:created>
  <dcterms:modified xsi:type="dcterms:W3CDTF">2019-08-14T13:53:00Z</dcterms:modified>
</cp:coreProperties>
</file>