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F8" w:rsidRPr="00AA5064" w:rsidRDefault="003C65F8" w:rsidP="00FD6939">
      <w:pPr>
        <w:jc w:val="center"/>
        <w:rPr>
          <w:rFonts w:ascii="Times New (W1)" w:hAnsi="Times New (W1)" w:cs="Times"/>
          <w:color w:val="000000"/>
          <w:sz w:val="20"/>
          <w:u w:val="single"/>
        </w:rPr>
      </w:pPr>
      <w:r w:rsidRPr="00AA5064">
        <w:rPr>
          <w:rFonts w:ascii="Times New (W1)" w:hAnsi="Times New (W1)" w:cs="Arial"/>
          <w:b/>
          <w:bCs/>
          <w:color w:val="000000"/>
          <w:sz w:val="20"/>
        </w:rPr>
        <w:t>OFFICE OF CHIEF MEDICAL EXAMINER</w:t>
      </w:r>
    </w:p>
    <w:p w:rsidR="003C65F8" w:rsidRPr="009639B0" w:rsidRDefault="009639B0" w:rsidP="00FD6939">
      <w:pPr>
        <w:jc w:val="center"/>
        <w:rPr>
          <w:rFonts w:ascii="Times New (W1)" w:hAnsi="Times New (W1)" w:cs="Arial"/>
          <w:smallCaps/>
          <w:color w:val="000000"/>
          <w:sz w:val="20"/>
        </w:rPr>
      </w:pPr>
      <w:r w:rsidRPr="009639B0">
        <w:rPr>
          <w:rFonts w:ascii="Times New (W1)" w:hAnsi="Times New (W1)" w:cs="Arial"/>
          <w:b/>
          <w:bCs/>
          <w:smallCaps/>
          <w:color w:val="000000"/>
          <w:sz w:val="20"/>
          <w:u w:val="single"/>
        </w:rPr>
        <w:t>Citywide Job Vacancy Notice</w:t>
      </w:r>
    </w:p>
    <w:p w:rsidR="003C65F8" w:rsidRPr="00AA5064" w:rsidRDefault="003C65F8" w:rsidP="00D9007C">
      <w:pPr>
        <w:ind w:right="720"/>
        <w:jc w:val="both"/>
        <w:rPr>
          <w:rFonts w:ascii="Times New (W1)" w:hAnsi="Times New (W1)" w:cs="Arial"/>
          <w:b/>
          <w:color w:val="000000"/>
          <w:sz w:val="20"/>
          <w:u w:val="single"/>
        </w:rPr>
      </w:pPr>
    </w:p>
    <w:p w:rsidR="003C65F8" w:rsidRPr="007E1C47" w:rsidRDefault="003C65F8" w:rsidP="00D9007C">
      <w:pPr>
        <w:autoSpaceDE w:val="0"/>
        <w:autoSpaceDN w:val="0"/>
        <w:adjustRightInd w:val="0"/>
        <w:jc w:val="both"/>
        <w:rPr>
          <w:rFonts w:ascii="Times New (W1)" w:hAnsi="Times New (W1)" w:cs="Arial"/>
          <w:color w:val="000000"/>
          <w:sz w:val="20"/>
          <w:u w:val="single"/>
        </w:rPr>
      </w:pPr>
      <w:r w:rsidRPr="00AA5064">
        <w:rPr>
          <w:rFonts w:ascii="Times New (W1)" w:hAnsi="Times New (W1)" w:cs="Arial"/>
          <w:b/>
          <w:color w:val="000000"/>
          <w:sz w:val="20"/>
        </w:rPr>
        <w:t xml:space="preserve">Civil Service Title:  </w:t>
      </w:r>
      <w:r w:rsidR="0001496B">
        <w:rPr>
          <w:rFonts w:ascii="Times New (W1)" w:hAnsi="Times New (W1)" w:cs="Arial"/>
          <w:color w:val="000000"/>
          <w:sz w:val="20"/>
        </w:rPr>
        <w:t>Director (OCME Toxicological Laboratory</w:t>
      </w:r>
      <w:r w:rsidR="00C66169">
        <w:rPr>
          <w:rFonts w:ascii="Times New (W1)" w:hAnsi="Times New (W1)" w:cs="Arial"/>
          <w:color w:val="000000"/>
          <w:sz w:val="20"/>
        </w:rPr>
        <w:t>)</w:t>
      </w:r>
      <w:r w:rsidR="00D22E9A">
        <w:rPr>
          <w:rFonts w:ascii="Times New (W1)" w:hAnsi="Times New (W1)" w:cs="Arial"/>
          <w:color w:val="000000"/>
          <w:sz w:val="20"/>
        </w:rPr>
        <w:tab/>
      </w:r>
      <w:r w:rsidR="00D22E9A">
        <w:rPr>
          <w:rFonts w:ascii="Times New (W1)" w:hAnsi="Times New (W1)" w:cs="Arial"/>
          <w:color w:val="000000"/>
          <w:sz w:val="20"/>
        </w:rPr>
        <w:tab/>
      </w:r>
      <w:r w:rsidRPr="007E1C47">
        <w:rPr>
          <w:rFonts w:ascii="Times New (W1)" w:hAnsi="Times New (W1)" w:cs="Arial"/>
          <w:b/>
          <w:color w:val="000000"/>
          <w:sz w:val="20"/>
        </w:rPr>
        <w:t xml:space="preserve">Level:  </w:t>
      </w:r>
      <w:r w:rsidR="00F40363" w:rsidRPr="007E1C47">
        <w:rPr>
          <w:rFonts w:ascii="Times New (W1)" w:hAnsi="Times New (W1)" w:cs="Arial"/>
          <w:color w:val="000000"/>
          <w:sz w:val="20"/>
        </w:rPr>
        <w:t>M-</w:t>
      </w:r>
      <w:r w:rsidR="009639B0" w:rsidRPr="007E1C47">
        <w:rPr>
          <w:rFonts w:ascii="Times New (W1)" w:hAnsi="Times New (W1)" w:cs="Arial"/>
          <w:color w:val="000000"/>
          <w:sz w:val="20"/>
        </w:rPr>
        <w:t>V</w:t>
      </w:r>
    </w:p>
    <w:p w:rsidR="003C65F8" w:rsidRPr="007E1C47" w:rsidRDefault="003C65F8" w:rsidP="00D9007C">
      <w:pPr>
        <w:tabs>
          <w:tab w:val="left" w:pos="-1440"/>
        </w:tabs>
        <w:ind w:left="5040" w:right="720" w:hanging="5040"/>
        <w:jc w:val="both"/>
        <w:rPr>
          <w:rFonts w:ascii="Arial" w:hAnsi="Arial" w:cs="Arial"/>
          <w:color w:val="000000"/>
          <w:sz w:val="20"/>
        </w:rPr>
      </w:pPr>
      <w:r w:rsidRPr="007E1C47">
        <w:rPr>
          <w:rFonts w:ascii="Times New (W1)" w:hAnsi="Times New (W1)" w:cs="Arial"/>
          <w:b/>
          <w:color w:val="000000"/>
          <w:sz w:val="20"/>
        </w:rPr>
        <w:t>Title Code No</w:t>
      </w:r>
      <w:r w:rsidRPr="007E1C47">
        <w:rPr>
          <w:rFonts w:ascii="Times New (W1)" w:hAnsi="Times New (W1)" w:cs="Arial"/>
          <w:color w:val="000000"/>
          <w:sz w:val="20"/>
        </w:rPr>
        <w:t xml:space="preserve">:  </w:t>
      </w:r>
      <w:r w:rsidR="0001496B" w:rsidRPr="007E1C47">
        <w:rPr>
          <w:rFonts w:ascii="Times New (W1)" w:hAnsi="Times New (W1)" w:cs="Arial"/>
          <w:color w:val="000000"/>
          <w:sz w:val="20"/>
        </w:rPr>
        <w:t>95456</w:t>
      </w:r>
      <w:r w:rsidRPr="007E1C47">
        <w:rPr>
          <w:rFonts w:ascii="Times New (W1)" w:hAnsi="Times New (W1)" w:cs="Arial"/>
          <w:color w:val="000000"/>
          <w:sz w:val="20"/>
        </w:rPr>
        <w:tab/>
      </w:r>
      <w:r w:rsidR="004E2546" w:rsidRPr="007E1C47">
        <w:rPr>
          <w:rFonts w:ascii="Times New (W1)" w:hAnsi="Times New (W1)" w:cs="Arial"/>
          <w:color w:val="000000"/>
          <w:sz w:val="20"/>
        </w:rPr>
        <w:tab/>
      </w:r>
      <w:r w:rsidR="004E2546" w:rsidRPr="007E1C47">
        <w:rPr>
          <w:rFonts w:ascii="Times New (W1)" w:hAnsi="Times New (W1)" w:cs="Arial"/>
          <w:color w:val="000000"/>
          <w:sz w:val="20"/>
        </w:rPr>
        <w:tab/>
      </w:r>
      <w:r w:rsidRPr="007E1C47">
        <w:rPr>
          <w:rFonts w:ascii="Times New (W1)" w:hAnsi="Times New (W1)" w:cs="Arial"/>
          <w:b/>
          <w:color w:val="000000"/>
          <w:sz w:val="20"/>
        </w:rPr>
        <w:t>Salary:</w:t>
      </w:r>
      <w:r w:rsidR="004E2546" w:rsidRPr="007E1C47">
        <w:rPr>
          <w:rFonts w:ascii="Times New (W1)" w:hAnsi="Times New (W1)" w:cs="Arial"/>
          <w:b/>
          <w:color w:val="000000"/>
          <w:sz w:val="20"/>
        </w:rPr>
        <w:t xml:space="preserve"> </w:t>
      </w:r>
      <w:r w:rsidR="007F6C95">
        <w:rPr>
          <w:rFonts w:ascii="Times New (W1)" w:hAnsi="Times New (W1)" w:cs="Arial"/>
          <w:color w:val="000000"/>
          <w:sz w:val="20"/>
        </w:rPr>
        <w:t>$78,419</w:t>
      </w:r>
      <w:r w:rsidR="007F6C95" w:rsidRPr="007F6C95">
        <w:rPr>
          <w:rFonts w:ascii="Times New (W1)" w:hAnsi="Times New (W1)" w:cs="Arial"/>
          <w:color w:val="000000"/>
          <w:sz w:val="20"/>
        </w:rPr>
        <w:t xml:space="preserve"> </w:t>
      </w:r>
      <w:r w:rsidR="007F6C95">
        <w:rPr>
          <w:rFonts w:ascii="Times New (W1)" w:hAnsi="Times New (W1)" w:cs="Arial"/>
          <w:color w:val="000000"/>
          <w:sz w:val="20"/>
        </w:rPr>
        <w:t xml:space="preserve">- </w:t>
      </w:r>
      <w:r w:rsidR="00401E33" w:rsidRPr="007F6C95">
        <w:rPr>
          <w:rFonts w:ascii="Times New (W1)" w:hAnsi="Times New (W1)" w:cs="Arial"/>
          <w:color w:val="000000"/>
          <w:sz w:val="20"/>
        </w:rPr>
        <w:t>$175,000</w:t>
      </w:r>
    </w:p>
    <w:p w:rsidR="003C65F8" w:rsidRPr="007E1C47" w:rsidRDefault="003C65F8" w:rsidP="00D9007C">
      <w:pPr>
        <w:ind w:right="720"/>
        <w:jc w:val="both"/>
        <w:rPr>
          <w:color w:val="000000"/>
          <w:sz w:val="20"/>
        </w:rPr>
      </w:pPr>
      <w:r w:rsidRPr="007E1C47">
        <w:rPr>
          <w:b/>
          <w:color w:val="000000"/>
          <w:sz w:val="20"/>
        </w:rPr>
        <w:t xml:space="preserve">Office Title:  </w:t>
      </w:r>
      <w:r w:rsidR="0001496B" w:rsidRPr="007E1C47">
        <w:rPr>
          <w:color w:val="000000"/>
          <w:sz w:val="20"/>
        </w:rPr>
        <w:t>Director of Forensic Toxicology</w:t>
      </w:r>
      <w:r w:rsidR="00C02DB7" w:rsidRPr="007E1C47">
        <w:rPr>
          <w:color w:val="000000"/>
          <w:sz w:val="20"/>
        </w:rPr>
        <w:t xml:space="preserve"> </w:t>
      </w:r>
      <w:r w:rsidR="00C02DB7" w:rsidRPr="007E1C47">
        <w:rPr>
          <w:color w:val="000000"/>
          <w:sz w:val="20"/>
        </w:rPr>
        <w:tab/>
      </w:r>
      <w:r w:rsidRPr="007E1C47">
        <w:rPr>
          <w:color w:val="000000"/>
          <w:sz w:val="20"/>
        </w:rPr>
        <w:t xml:space="preserve">    </w:t>
      </w:r>
      <w:r w:rsidRPr="007E1C47">
        <w:rPr>
          <w:color w:val="000000"/>
          <w:sz w:val="20"/>
        </w:rPr>
        <w:tab/>
      </w:r>
      <w:r w:rsidRPr="007E1C47">
        <w:rPr>
          <w:color w:val="000000"/>
          <w:sz w:val="20"/>
        </w:rPr>
        <w:tab/>
      </w:r>
      <w:r w:rsidR="004E2546" w:rsidRPr="007E1C47">
        <w:rPr>
          <w:color w:val="000000"/>
          <w:sz w:val="20"/>
        </w:rPr>
        <w:tab/>
      </w:r>
      <w:r w:rsidRPr="007E1C47">
        <w:rPr>
          <w:b/>
          <w:color w:val="000000"/>
          <w:sz w:val="20"/>
        </w:rPr>
        <w:t>Work Location:</w:t>
      </w:r>
      <w:r w:rsidRPr="007E1C47">
        <w:rPr>
          <w:color w:val="000000"/>
          <w:sz w:val="20"/>
        </w:rPr>
        <w:t xml:space="preserve"> </w:t>
      </w:r>
      <w:r w:rsidR="00A0285E" w:rsidRPr="007E1C47">
        <w:rPr>
          <w:rStyle w:val="pseditboxdisponly1"/>
          <w:rFonts w:ascii="Times New Roman" w:hAnsi="Times New Roman" w:cs="Times New Roman"/>
          <w:sz w:val="20"/>
          <w:szCs w:val="20"/>
        </w:rPr>
        <w:t>520 1St Ave., N.Y.</w:t>
      </w:r>
    </w:p>
    <w:p w:rsidR="00635208" w:rsidRPr="00A0285E" w:rsidRDefault="003C65F8" w:rsidP="00C66169">
      <w:pPr>
        <w:tabs>
          <w:tab w:val="left" w:pos="-1440"/>
        </w:tabs>
        <w:ind w:left="5040" w:right="720" w:hanging="5040"/>
        <w:jc w:val="both"/>
        <w:rPr>
          <w:color w:val="000000"/>
          <w:sz w:val="20"/>
        </w:rPr>
      </w:pPr>
      <w:r w:rsidRPr="007E1C47">
        <w:rPr>
          <w:b/>
          <w:color w:val="000000"/>
          <w:sz w:val="20"/>
        </w:rPr>
        <w:t xml:space="preserve">Division/Work Unit:  </w:t>
      </w:r>
      <w:r w:rsidR="00A0285E" w:rsidRPr="007E1C47">
        <w:rPr>
          <w:rStyle w:val="pseditboxdisponly1"/>
          <w:rFonts w:ascii="Times New Roman" w:hAnsi="Times New Roman" w:cs="Times New Roman"/>
          <w:sz w:val="20"/>
          <w:szCs w:val="20"/>
        </w:rPr>
        <w:t>OCME-Toxicology</w:t>
      </w:r>
      <w:r w:rsidRPr="007E1C47">
        <w:rPr>
          <w:color w:val="000000"/>
          <w:sz w:val="20"/>
        </w:rPr>
        <w:tab/>
      </w:r>
      <w:r w:rsidR="004E2546" w:rsidRPr="007E1C47">
        <w:rPr>
          <w:color w:val="000000"/>
          <w:sz w:val="20"/>
        </w:rPr>
        <w:tab/>
      </w:r>
      <w:r w:rsidR="004E2546" w:rsidRPr="007E1C47">
        <w:rPr>
          <w:color w:val="000000"/>
          <w:sz w:val="20"/>
        </w:rPr>
        <w:tab/>
      </w:r>
      <w:r w:rsidR="0071188C" w:rsidRPr="007E1C47">
        <w:rPr>
          <w:b/>
          <w:color w:val="000000"/>
          <w:sz w:val="20"/>
        </w:rPr>
        <w:t>Number of Positions:</w:t>
      </w:r>
      <w:r w:rsidR="00552EFA" w:rsidRPr="007E1C47">
        <w:rPr>
          <w:color w:val="000000"/>
          <w:sz w:val="20"/>
        </w:rPr>
        <w:t xml:space="preserve"> 1</w:t>
      </w:r>
    </w:p>
    <w:p w:rsidR="00C66169" w:rsidRPr="00C66169" w:rsidRDefault="00C66169" w:rsidP="00C66169">
      <w:pPr>
        <w:tabs>
          <w:tab w:val="left" w:pos="-1440"/>
        </w:tabs>
        <w:ind w:left="5040" w:right="720" w:hanging="5040"/>
        <w:jc w:val="both"/>
        <w:rPr>
          <w:rFonts w:ascii="Times New (W1)" w:hAnsi="Times New (W1)" w:cs="Arial"/>
          <w:color w:val="000000"/>
          <w:sz w:val="20"/>
        </w:rPr>
      </w:pPr>
    </w:p>
    <w:p w:rsidR="00C66169" w:rsidRDefault="00C66169" w:rsidP="00E77F13">
      <w:pPr>
        <w:tabs>
          <w:tab w:val="left" w:pos="-1440"/>
        </w:tabs>
        <w:jc w:val="both"/>
        <w:rPr>
          <w:b/>
          <w:sz w:val="20"/>
        </w:rPr>
      </w:pPr>
    </w:p>
    <w:p w:rsidR="00C66169" w:rsidRPr="00C66169" w:rsidRDefault="00E77F13" w:rsidP="00C66169">
      <w:pPr>
        <w:tabs>
          <w:tab w:val="left" w:pos="-1440"/>
        </w:tabs>
        <w:jc w:val="both"/>
        <w:rPr>
          <w:b/>
          <w:sz w:val="20"/>
        </w:rPr>
      </w:pPr>
      <w:r w:rsidRPr="00A53D68">
        <w:rPr>
          <w:b/>
          <w:sz w:val="20"/>
        </w:rPr>
        <w:t>The Office of Chief Medical Examiner investigates cases of persons who die within New York City from criminal violence, by accident, by suicide, suddenly when in apparent health, when unattended by a physician, in a correctional facility or in any suspicious or unusual manner or where an application is made pursuant to law for a permit to cremate a body of a person.</w:t>
      </w:r>
      <w:r>
        <w:rPr>
          <w:b/>
          <w:sz w:val="20"/>
        </w:rPr>
        <w:t xml:space="preserve">  </w:t>
      </w:r>
    </w:p>
    <w:p w:rsidR="00357389" w:rsidRDefault="00357389" w:rsidP="00C66169">
      <w:pPr>
        <w:tabs>
          <w:tab w:val="left" w:pos="-1440"/>
          <w:tab w:val="center" w:pos="5472"/>
          <w:tab w:val="right" w:pos="10944"/>
        </w:tabs>
        <w:rPr>
          <w:b/>
          <w:i/>
          <w:sz w:val="20"/>
        </w:rPr>
      </w:pPr>
    </w:p>
    <w:p w:rsidR="00E77F13" w:rsidRPr="00E77F13" w:rsidRDefault="00C66169" w:rsidP="00C66169">
      <w:pPr>
        <w:tabs>
          <w:tab w:val="left" w:pos="-1440"/>
          <w:tab w:val="center" w:pos="5472"/>
          <w:tab w:val="right" w:pos="10944"/>
        </w:tabs>
        <w:rPr>
          <w:b/>
          <w:i/>
          <w:sz w:val="20"/>
        </w:rPr>
      </w:pPr>
      <w:r>
        <w:rPr>
          <w:b/>
          <w:i/>
          <w:sz w:val="20"/>
        </w:rPr>
        <w:tab/>
      </w:r>
      <w:r w:rsidR="00E77F13" w:rsidRPr="00E77F13">
        <w:rPr>
          <w:b/>
          <w:i/>
          <w:sz w:val="20"/>
        </w:rPr>
        <w:t>We exist to provide answers in support of families, victims and community during times of profound need.</w:t>
      </w:r>
      <w:r>
        <w:rPr>
          <w:b/>
          <w:i/>
          <w:sz w:val="20"/>
        </w:rPr>
        <w:tab/>
      </w:r>
    </w:p>
    <w:p w:rsidR="00C66169" w:rsidRPr="00C66169" w:rsidRDefault="003C65F8" w:rsidP="00357389">
      <w:pPr>
        <w:tabs>
          <w:tab w:val="left" w:pos="-1440"/>
        </w:tabs>
        <w:jc w:val="center"/>
        <w:rPr>
          <w:rFonts w:ascii="Times New (W1)" w:hAnsi="Times New (W1)" w:cs="Arial"/>
          <w:b/>
          <w:sz w:val="20"/>
          <w:u w:val="single"/>
        </w:rPr>
      </w:pPr>
      <w:r w:rsidRPr="00AA5064">
        <w:rPr>
          <w:rFonts w:ascii="Times New (W1)" w:hAnsi="Times New (W1)" w:cs="Arial"/>
          <w:b/>
          <w:sz w:val="20"/>
          <w:u w:val="single"/>
        </w:rPr>
        <w:t>JOB DESCRIPTION</w:t>
      </w:r>
    </w:p>
    <w:p w:rsidR="00C66169" w:rsidRPr="009639B0" w:rsidRDefault="00C66169" w:rsidP="00C66169">
      <w:pPr>
        <w:tabs>
          <w:tab w:val="left" w:pos="-1440"/>
          <w:tab w:val="left" w:pos="-720"/>
          <w:tab w:val="left" w:pos="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s>
        <w:spacing w:after="58"/>
        <w:jc w:val="both"/>
        <w:rPr>
          <w:bCs/>
          <w:sz w:val="20"/>
        </w:rPr>
      </w:pPr>
      <w:r w:rsidRPr="00E77F13">
        <w:rPr>
          <w:sz w:val="20"/>
        </w:rPr>
        <w:t>The core values of the OCME are to put the mission of the agency first, to be truly dedicated and to have integrity in every aspect of our professional life</w:t>
      </w:r>
      <w:r w:rsidRPr="00E77F13">
        <w:rPr>
          <w:bCs/>
          <w:sz w:val="20"/>
        </w:rPr>
        <w:t>.</w:t>
      </w:r>
      <w:r>
        <w:rPr>
          <w:bCs/>
          <w:sz w:val="20"/>
        </w:rPr>
        <w:t xml:space="preserve"> OCME</w:t>
      </w:r>
      <w:r w:rsidRPr="009639B0">
        <w:rPr>
          <w:bCs/>
          <w:sz w:val="20"/>
        </w:rPr>
        <w:t xml:space="preserve"> seeks a senior forensic laboratory manager to serve as the Director for its Forensic </w:t>
      </w:r>
      <w:r>
        <w:rPr>
          <w:bCs/>
          <w:sz w:val="20"/>
        </w:rPr>
        <w:t xml:space="preserve">Toxicology Laboratory. </w:t>
      </w:r>
      <w:r w:rsidRPr="009639B0">
        <w:rPr>
          <w:bCs/>
          <w:sz w:val="20"/>
        </w:rPr>
        <w:t xml:space="preserve">Reporting directly to the Chief </w:t>
      </w:r>
      <w:r>
        <w:rPr>
          <w:bCs/>
          <w:sz w:val="20"/>
        </w:rPr>
        <w:t>of Laboratories</w:t>
      </w:r>
      <w:r w:rsidRPr="009639B0">
        <w:rPr>
          <w:bCs/>
          <w:sz w:val="20"/>
        </w:rPr>
        <w:t xml:space="preserve">, the incumbent for this managerial position will provide administrative, scientific, and technical operational management </w:t>
      </w:r>
      <w:r>
        <w:rPr>
          <w:bCs/>
          <w:sz w:val="20"/>
        </w:rPr>
        <w:t xml:space="preserve">of the toxicology laboratory </w:t>
      </w:r>
      <w:r w:rsidRPr="009639B0">
        <w:rPr>
          <w:bCs/>
          <w:sz w:val="20"/>
        </w:rPr>
        <w:t xml:space="preserve">for the largest </w:t>
      </w:r>
      <w:r>
        <w:rPr>
          <w:bCs/>
          <w:sz w:val="20"/>
        </w:rPr>
        <w:t>medical examiner’s office in the United States.</w:t>
      </w:r>
      <w:r w:rsidRPr="009639B0">
        <w:rPr>
          <w:bCs/>
          <w:sz w:val="20"/>
        </w:rPr>
        <w:t xml:space="preserve"> The incumbent for this position reviews federal, state and local legislation to determine impact on forensic testing and advises the Chief </w:t>
      </w:r>
      <w:r>
        <w:rPr>
          <w:bCs/>
          <w:sz w:val="20"/>
        </w:rPr>
        <w:t>of Laboratories</w:t>
      </w:r>
      <w:r w:rsidRPr="009639B0">
        <w:rPr>
          <w:bCs/>
          <w:sz w:val="20"/>
        </w:rPr>
        <w:t xml:space="preserve"> on relevant forensic science matters. This position requires security and background checks from </w:t>
      </w:r>
      <w:r>
        <w:rPr>
          <w:bCs/>
          <w:sz w:val="20"/>
        </w:rPr>
        <w:t xml:space="preserve">the </w:t>
      </w:r>
      <w:r w:rsidRPr="009639B0">
        <w:rPr>
          <w:bCs/>
          <w:sz w:val="20"/>
        </w:rPr>
        <w:t>City</w:t>
      </w:r>
      <w:r>
        <w:rPr>
          <w:bCs/>
          <w:sz w:val="20"/>
        </w:rPr>
        <w:t xml:space="preserve"> of New York</w:t>
      </w:r>
      <w:r w:rsidRPr="009639B0">
        <w:rPr>
          <w:bCs/>
          <w:sz w:val="20"/>
        </w:rPr>
        <w:t xml:space="preserve">.  </w:t>
      </w:r>
    </w:p>
    <w:p w:rsidR="00C66169" w:rsidRDefault="00C66169" w:rsidP="00C66169">
      <w:pPr>
        <w:tabs>
          <w:tab w:val="left" w:pos="-1440"/>
        </w:tabs>
        <w:jc w:val="both"/>
        <w:rPr>
          <w:bCs/>
          <w:sz w:val="20"/>
        </w:rPr>
      </w:pPr>
    </w:p>
    <w:p w:rsidR="00C66169" w:rsidRDefault="00C66169" w:rsidP="00C66169">
      <w:pPr>
        <w:tabs>
          <w:tab w:val="left" w:pos="-1440"/>
        </w:tabs>
        <w:jc w:val="both"/>
        <w:rPr>
          <w:bCs/>
          <w:sz w:val="20"/>
        </w:rPr>
      </w:pPr>
      <w:r w:rsidRPr="009639B0">
        <w:rPr>
          <w:bCs/>
          <w:sz w:val="20"/>
        </w:rPr>
        <w:t xml:space="preserve">The Director of Forensic </w:t>
      </w:r>
      <w:r>
        <w:rPr>
          <w:bCs/>
          <w:sz w:val="20"/>
        </w:rPr>
        <w:t>Toxicology</w:t>
      </w:r>
      <w:r w:rsidRPr="009639B0">
        <w:rPr>
          <w:bCs/>
          <w:sz w:val="20"/>
        </w:rPr>
        <w:t xml:space="preserve"> manages the programmatic and scientific administration of the laboratory and will formulate and implement operational policies, goals, and objectives relating to all </w:t>
      </w:r>
      <w:r>
        <w:rPr>
          <w:bCs/>
          <w:sz w:val="20"/>
        </w:rPr>
        <w:t>toxicological</w:t>
      </w:r>
      <w:r w:rsidRPr="009639B0">
        <w:rPr>
          <w:bCs/>
          <w:sz w:val="20"/>
        </w:rPr>
        <w:t xml:space="preserve"> functions within the laboratory.</w:t>
      </w:r>
      <w:r>
        <w:rPr>
          <w:bCs/>
          <w:sz w:val="20"/>
        </w:rPr>
        <w:t xml:space="preserve">  </w:t>
      </w:r>
      <w:r w:rsidRPr="009639B0">
        <w:rPr>
          <w:bCs/>
          <w:sz w:val="20"/>
        </w:rPr>
        <w:t xml:space="preserve">As Director, the incumbent will be responsible for ensuring that the Forensic </w:t>
      </w:r>
      <w:r>
        <w:rPr>
          <w:bCs/>
          <w:sz w:val="20"/>
        </w:rPr>
        <w:t>Toxicology</w:t>
      </w:r>
      <w:r w:rsidRPr="009639B0">
        <w:rPr>
          <w:bCs/>
          <w:sz w:val="20"/>
        </w:rPr>
        <w:t xml:space="preserve"> Laboratory remains in compliance with accreditation standards and NYS Commission on Forensic Science ac</w:t>
      </w:r>
      <w:r>
        <w:rPr>
          <w:bCs/>
          <w:sz w:val="20"/>
        </w:rPr>
        <w:t>creditation program guidelines. The Director i</w:t>
      </w:r>
      <w:r w:rsidRPr="007F49A7">
        <w:rPr>
          <w:bCs/>
          <w:sz w:val="20"/>
        </w:rPr>
        <w:t>s responsible for supervision of all laboratory analyses in connection with medicolegal</w:t>
      </w:r>
      <w:r>
        <w:rPr>
          <w:bCs/>
          <w:sz w:val="20"/>
        </w:rPr>
        <w:t xml:space="preserve"> </w:t>
      </w:r>
      <w:r w:rsidRPr="007F49A7">
        <w:rPr>
          <w:bCs/>
          <w:sz w:val="20"/>
        </w:rPr>
        <w:t xml:space="preserve">investigation of sudden, unexpected, unattended, violent or suspicious deaths in </w:t>
      </w:r>
      <w:r>
        <w:rPr>
          <w:bCs/>
          <w:sz w:val="20"/>
        </w:rPr>
        <w:t xml:space="preserve">the City of </w:t>
      </w:r>
      <w:r w:rsidRPr="007F49A7">
        <w:rPr>
          <w:bCs/>
          <w:sz w:val="20"/>
        </w:rPr>
        <w:t>New</w:t>
      </w:r>
      <w:r>
        <w:rPr>
          <w:bCs/>
          <w:sz w:val="20"/>
        </w:rPr>
        <w:t xml:space="preserve"> York</w:t>
      </w:r>
      <w:r w:rsidRPr="007F49A7">
        <w:rPr>
          <w:bCs/>
          <w:sz w:val="20"/>
        </w:rPr>
        <w:t>.</w:t>
      </w:r>
    </w:p>
    <w:p w:rsidR="004D6B52" w:rsidRPr="007F49A7" w:rsidRDefault="004D6B52" w:rsidP="00C66169">
      <w:pPr>
        <w:tabs>
          <w:tab w:val="left" w:pos="-1440"/>
        </w:tabs>
        <w:jc w:val="both"/>
        <w:rPr>
          <w:bCs/>
          <w:sz w:val="20"/>
        </w:rPr>
      </w:pPr>
    </w:p>
    <w:p w:rsidR="00C66169" w:rsidRPr="009639B0" w:rsidRDefault="00C66169" w:rsidP="00C66169">
      <w:pPr>
        <w:tabs>
          <w:tab w:val="left" w:pos="-1440"/>
        </w:tabs>
        <w:jc w:val="both"/>
        <w:rPr>
          <w:bCs/>
          <w:sz w:val="20"/>
        </w:rPr>
      </w:pPr>
      <w:r>
        <w:rPr>
          <w:bCs/>
          <w:sz w:val="20"/>
        </w:rPr>
        <w:t>He/s</w:t>
      </w:r>
      <w:r w:rsidRPr="009639B0">
        <w:rPr>
          <w:bCs/>
          <w:sz w:val="20"/>
        </w:rPr>
        <w:t xml:space="preserve">he will manage ongoing program operations, provide technical supervision of </w:t>
      </w:r>
      <w:r>
        <w:rPr>
          <w:bCs/>
          <w:sz w:val="20"/>
        </w:rPr>
        <w:t>casework,</w:t>
      </w:r>
      <w:r w:rsidRPr="009639B0">
        <w:rPr>
          <w:bCs/>
          <w:sz w:val="20"/>
        </w:rPr>
        <w:t xml:space="preserve"> </w:t>
      </w:r>
      <w:r>
        <w:rPr>
          <w:bCs/>
          <w:sz w:val="20"/>
        </w:rPr>
        <w:t>r</w:t>
      </w:r>
      <w:r w:rsidRPr="007F49A7">
        <w:rPr>
          <w:bCs/>
          <w:sz w:val="20"/>
        </w:rPr>
        <w:t>eviews and evaluates toxicologic findings</w:t>
      </w:r>
      <w:r>
        <w:rPr>
          <w:bCs/>
          <w:sz w:val="20"/>
        </w:rPr>
        <w:t>,</w:t>
      </w:r>
      <w:r w:rsidRPr="007F49A7">
        <w:rPr>
          <w:bCs/>
          <w:sz w:val="20"/>
        </w:rPr>
        <w:t xml:space="preserve"> </w:t>
      </w:r>
      <w:r w:rsidRPr="009639B0">
        <w:rPr>
          <w:bCs/>
          <w:sz w:val="20"/>
        </w:rPr>
        <w:t xml:space="preserve">direct enhancements for LIMS, manage new and continuing grant initiatives, </w:t>
      </w:r>
      <w:r>
        <w:rPr>
          <w:bCs/>
          <w:sz w:val="20"/>
        </w:rPr>
        <w:t xml:space="preserve">develop and implement new analytical methodologies </w:t>
      </w:r>
      <w:r w:rsidRPr="009639B0">
        <w:rPr>
          <w:bCs/>
          <w:sz w:val="20"/>
        </w:rPr>
        <w:t xml:space="preserve">and coordinate activities with </w:t>
      </w:r>
      <w:r>
        <w:rPr>
          <w:bCs/>
          <w:sz w:val="20"/>
        </w:rPr>
        <w:t>the medical examiners and NYPD</w:t>
      </w:r>
      <w:r w:rsidRPr="009639B0">
        <w:rPr>
          <w:bCs/>
          <w:sz w:val="20"/>
        </w:rPr>
        <w:t xml:space="preserve">. </w:t>
      </w:r>
      <w:r>
        <w:rPr>
          <w:bCs/>
          <w:sz w:val="20"/>
        </w:rPr>
        <w:t>The Director</w:t>
      </w:r>
      <w:r w:rsidRPr="009639B0">
        <w:rPr>
          <w:bCs/>
          <w:sz w:val="20"/>
        </w:rPr>
        <w:t xml:space="preserve"> will provide technical and/or scientific review of the quality assurance and employee technical training programs evaluating effectiveness for both. </w:t>
      </w:r>
      <w:r>
        <w:rPr>
          <w:bCs/>
          <w:sz w:val="20"/>
        </w:rPr>
        <w:t xml:space="preserve">He/she serves as an expert witness in Forensic Toxicology and collaborates and consults with the medical examiners in matters relating to Forensic Toxicology. </w:t>
      </w:r>
      <w:r w:rsidRPr="009639B0">
        <w:rPr>
          <w:bCs/>
          <w:sz w:val="20"/>
        </w:rPr>
        <w:t>This position also provides oversight management in methodology and test validation, as well as applied research.</w:t>
      </w:r>
    </w:p>
    <w:p w:rsidR="00C66169" w:rsidRDefault="00C66169" w:rsidP="00E77F13">
      <w:pPr>
        <w:tabs>
          <w:tab w:val="left" w:pos="-1440"/>
          <w:tab w:val="left" w:pos="-720"/>
          <w:tab w:val="left" w:pos="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s>
        <w:spacing w:after="58"/>
        <w:jc w:val="both"/>
        <w:rPr>
          <w:bCs/>
          <w:sz w:val="20"/>
        </w:rPr>
      </w:pPr>
    </w:p>
    <w:p w:rsidR="009639B0" w:rsidRPr="00C66169" w:rsidRDefault="00181F4E" w:rsidP="00C66169">
      <w:pPr>
        <w:tabs>
          <w:tab w:val="left" w:pos="-1440"/>
          <w:tab w:val="left" w:pos="-720"/>
          <w:tab w:val="left" w:pos="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s>
        <w:spacing w:after="58"/>
        <w:jc w:val="both"/>
        <w:rPr>
          <w:bCs/>
          <w:sz w:val="20"/>
        </w:rPr>
      </w:pPr>
      <w:r>
        <w:rPr>
          <w:bCs/>
          <w:noProof/>
          <w:sz w:val="20"/>
        </w:rPr>
        <w:pict>
          <v:rect id="_x0000_s1059" style="position:absolute;left:0;text-align:left;margin-left:29.85pt;margin-top:171.9pt;width:550.8pt;height:1.2pt;z-index:-251654144;mso-position-horizontal-relative:page;mso-position-vertical-relative:page" fillcolor="black" stroked="f" strokeweight="0">
            <v:fill color2="black"/>
            <w10:wrap anchorx="page" anchory="page"/>
            <w10:anchorlock/>
          </v:rect>
        </w:pict>
      </w:r>
      <w:r>
        <w:rPr>
          <w:bCs/>
          <w:noProof/>
          <w:sz w:val="20"/>
        </w:rPr>
        <w:pict>
          <v:rect id="_x0000_s1056" style="position:absolute;left:0;text-align:left;margin-left:27.6pt;margin-top:125.4pt;width:550.8pt;height:1.2pt;z-index:-251655168;mso-position-horizontal-relative:page;mso-position-vertical-relative:page" fillcolor="black" stroked="f" strokeweight="0">
            <v:fill color2="black"/>
            <w10:wrap anchorx="page" anchory="page"/>
            <w10:anchorlock/>
          </v:rect>
        </w:pict>
      </w:r>
    </w:p>
    <w:p w:rsidR="003C65F8" w:rsidRPr="00AA5064" w:rsidRDefault="00A014BC" w:rsidP="00FD6939">
      <w:pPr>
        <w:pStyle w:val="BodyText"/>
        <w:jc w:val="center"/>
        <w:rPr>
          <w:rFonts w:ascii="Times New (W1)" w:hAnsi="Times New (W1)"/>
          <w:b/>
          <w:u w:val="single"/>
        </w:rPr>
      </w:pPr>
      <w:r w:rsidRPr="00AA5064">
        <w:rPr>
          <w:rFonts w:ascii="Times New (W1)" w:hAnsi="Times New (W1)"/>
          <w:b/>
          <w:u w:val="single"/>
        </w:rPr>
        <w:t>QUALIFICATION</w:t>
      </w:r>
      <w:r w:rsidR="00F327D8" w:rsidRPr="00AA5064">
        <w:rPr>
          <w:rFonts w:ascii="Times New (W1)" w:hAnsi="Times New (W1)"/>
          <w:b/>
          <w:u w:val="single"/>
        </w:rPr>
        <w:t xml:space="preserve"> REQUIREMENTS</w:t>
      </w:r>
    </w:p>
    <w:p w:rsidR="00C66169" w:rsidRPr="00C66169" w:rsidRDefault="00C66169" w:rsidP="00C66169">
      <w:pPr>
        <w:autoSpaceDE w:val="0"/>
        <w:autoSpaceDN w:val="0"/>
        <w:adjustRightInd w:val="0"/>
        <w:spacing w:before="82" w:after="42" w:line="0" w:lineRule="atLeast"/>
        <w:ind w:right="720"/>
        <w:jc w:val="both"/>
        <w:rPr>
          <w:rFonts w:ascii="Times New (W1)" w:hAnsi="Times New (W1)" w:cs="Arial"/>
          <w:bCs/>
          <w:sz w:val="20"/>
        </w:rPr>
      </w:pPr>
      <w:r w:rsidRPr="00C66169">
        <w:rPr>
          <w:rFonts w:ascii="PalatinoLinotype" w:hAnsi="PalatinoLinotype" w:cs="PalatinoLinotype"/>
          <w:sz w:val="20"/>
        </w:rPr>
        <w:t>A Doctorate degree from an accredited college forensic toxicology, toxicology, pharmacology, chemistry, or a closely related natural science; and at least three years of satisfactory, responsible, full-time professional supervisory experience in the field of postmortem forensic toxicology; and must be certified, or eligible to be certified, by the American Board of Forensic Toxicology, Inc. This certification/eligibility must be maintained for the duration of employment.</w:t>
      </w:r>
      <w:r w:rsidRPr="00C66169">
        <w:rPr>
          <w:rFonts w:ascii="Times New (W1)" w:hAnsi="Times New (W1)" w:cs="Arial"/>
          <w:sz w:val="20"/>
        </w:rPr>
        <w:t xml:space="preserve"> </w:t>
      </w:r>
    </w:p>
    <w:p w:rsidR="00FD6939" w:rsidRPr="00C66169" w:rsidRDefault="009C626C" w:rsidP="00FD6939">
      <w:pPr>
        <w:numPr>
          <w:ilvl w:val="0"/>
          <w:numId w:val="12"/>
        </w:numPr>
        <w:autoSpaceDE w:val="0"/>
        <w:autoSpaceDN w:val="0"/>
        <w:adjustRightInd w:val="0"/>
        <w:spacing w:before="82" w:after="42" w:line="0" w:lineRule="atLeast"/>
        <w:ind w:right="720"/>
        <w:jc w:val="both"/>
        <w:rPr>
          <w:rFonts w:ascii="Times New (W1)" w:hAnsi="Times New (W1)" w:cs="Arial"/>
          <w:b/>
          <w:bCs/>
          <w:sz w:val="20"/>
        </w:rPr>
      </w:pPr>
      <w:r w:rsidRPr="00267A7C">
        <w:rPr>
          <w:rFonts w:ascii="PalatinoLinotype" w:hAnsi="PalatinoLinotype" w:cs="PalatinoLinotype"/>
          <w:sz w:val="20"/>
        </w:rPr>
        <w:t xml:space="preserve"> </w:t>
      </w:r>
      <w:r w:rsidR="00FD6939" w:rsidRPr="00F919EE">
        <w:rPr>
          <w:rFonts w:ascii="Times New (W1)" w:hAnsi="Times New (W1)" w:cs="Arial"/>
          <w:b/>
          <w:bCs/>
          <w:sz w:val="20"/>
        </w:rPr>
        <w:t>Note:</w:t>
      </w:r>
      <w:r w:rsidR="00C66169">
        <w:rPr>
          <w:rFonts w:ascii="Times New (W1)" w:hAnsi="Times New (W1)" w:cs="Arial"/>
          <w:b/>
          <w:bCs/>
          <w:sz w:val="20"/>
        </w:rPr>
        <w:t xml:space="preserve"> </w:t>
      </w:r>
      <w:r w:rsidR="00FD6939" w:rsidRPr="00C66169">
        <w:rPr>
          <w:rFonts w:ascii="Times New (W1)" w:hAnsi="Times New (W1)" w:cs="Arial"/>
          <w:bCs/>
          <w:sz w:val="20"/>
        </w:rPr>
        <w:t xml:space="preserve">New York City residency is required within 90 days of appointment.  However, City employees in certain titles who have worked for the City 2 continuous years may also be eligible to reside in Nassau, Suffolk, Putnam, </w:t>
      </w:r>
      <w:r w:rsidR="00F919EE" w:rsidRPr="00C66169">
        <w:rPr>
          <w:rFonts w:ascii="Times New (W1)" w:hAnsi="Times New (W1)" w:cs="Arial"/>
          <w:bCs/>
          <w:sz w:val="20"/>
        </w:rPr>
        <w:t>Westchester, Rockland or Orange County.</w:t>
      </w:r>
    </w:p>
    <w:p w:rsidR="004E2546" w:rsidRDefault="004E2546" w:rsidP="00D9007C">
      <w:pPr>
        <w:jc w:val="both"/>
        <w:rPr>
          <w:b/>
          <w:sz w:val="20"/>
          <w:u w:val="single"/>
        </w:rPr>
      </w:pPr>
    </w:p>
    <w:p w:rsidR="00335053" w:rsidRDefault="00552EFA" w:rsidP="00FD6939">
      <w:pPr>
        <w:jc w:val="center"/>
        <w:rPr>
          <w:b/>
          <w:sz w:val="20"/>
          <w:u w:val="single"/>
        </w:rPr>
      </w:pPr>
      <w:r>
        <w:rPr>
          <w:b/>
          <w:sz w:val="20"/>
          <w:u w:val="single"/>
        </w:rPr>
        <w:t>SPECIAL NOTE</w:t>
      </w:r>
    </w:p>
    <w:p w:rsidR="00D9007C" w:rsidRPr="008C4882" w:rsidRDefault="00181F4E" w:rsidP="00D9007C">
      <w:pPr>
        <w:numPr>
          <w:ilvl w:val="0"/>
          <w:numId w:val="10"/>
        </w:numPr>
        <w:ind w:right="720"/>
        <w:jc w:val="both"/>
        <w:rPr>
          <w:rFonts w:ascii="Times New (W1)" w:hAnsi="Times New (W1)" w:cs="Arial"/>
          <w:b/>
          <w:bCs/>
          <w:color w:val="000000"/>
          <w:sz w:val="20"/>
        </w:rPr>
      </w:pPr>
      <w:r w:rsidRPr="00181F4E">
        <w:rPr>
          <w:rFonts w:ascii="Times New (W1)" w:hAnsi="Times New (W1)" w:cs="Arial"/>
          <w:bCs/>
          <w:noProof/>
          <w:color w:val="000000"/>
          <w:sz w:val="20"/>
        </w:rPr>
        <w:pict>
          <v:rect id="_x0000_s1054" style="position:absolute;left:0;text-align:left;margin-left:28.8pt;margin-top:571.5pt;width:551.55pt;height:1.55pt;z-index:-251657216;mso-position-horizontal-relative:page;mso-position-vertical-relative:page" fillcolor="black" stroked="f" strokeweight="0">
            <v:fill color2="black"/>
            <w10:wrap anchorx="page" anchory="page"/>
            <w10:anchorlock/>
          </v:rect>
        </w:pict>
      </w:r>
      <w:r w:rsidR="00267A7C">
        <w:rPr>
          <w:rFonts w:ascii="Times New (W1)" w:hAnsi="Times New (W1)" w:cs="Arial"/>
          <w:bCs/>
          <w:color w:val="000000"/>
          <w:sz w:val="20"/>
        </w:rPr>
        <w:t xml:space="preserve"> </w:t>
      </w:r>
      <w:r w:rsidR="00D9007C" w:rsidRPr="008C4882">
        <w:rPr>
          <w:rFonts w:ascii="Times New (W1)" w:hAnsi="Times New (W1)" w:cs="Arial"/>
          <w:b/>
          <w:bCs/>
          <w:color w:val="000000"/>
          <w:sz w:val="20"/>
        </w:rPr>
        <w:t>Selected candidates will be required to provide a DNA sample by swabbing.</w:t>
      </w:r>
    </w:p>
    <w:p w:rsidR="00335053" w:rsidRPr="00B740EC" w:rsidRDefault="00335053" w:rsidP="00D9007C">
      <w:pPr>
        <w:tabs>
          <w:tab w:val="left" w:pos="630"/>
          <w:tab w:val="left" w:pos="1080"/>
        </w:tabs>
        <w:ind w:left="720" w:right="720"/>
        <w:jc w:val="both"/>
        <w:rPr>
          <w:rFonts w:ascii="Times New (W1)" w:hAnsi="Times New (W1)" w:cs="Arial"/>
          <w:b/>
          <w:bCs/>
          <w:color w:val="000000"/>
          <w:sz w:val="20"/>
        </w:rPr>
      </w:pPr>
    </w:p>
    <w:p w:rsidR="00B740EC" w:rsidRPr="00D9007C" w:rsidRDefault="007D0711" w:rsidP="00FD6939">
      <w:pPr>
        <w:jc w:val="center"/>
        <w:rPr>
          <w:b/>
          <w:bCs/>
          <w:color w:val="000000"/>
          <w:sz w:val="20"/>
          <w:u w:val="single"/>
        </w:rPr>
      </w:pPr>
      <w:r w:rsidRPr="00D9007C">
        <w:rPr>
          <w:b/>
          <w:bCs/>
          <w:color w:val="000000"/>
          <w:sz w:val="20"/>
          <w:u w:val="single"/>
        </w:rPr>
        <w:t>PREFERRED SKILLS</w:t>
      </w:r>
    </w:p>
    <w:p w:rsidR="00C66169" w:rsidRPr="00D9007C" w:rsidRDefault="00C66169" w:rsidP="00C66169">
      <w:pPr>
        <w:jc w:val="both"/>
        <w:rPr>
          <w:b/>
          <w:bCs/>
          <w:color w:val="000000"/>
          <w:sz w:val="20"/>
        </w:rPr>
      </w:pPr>
      <w:r w:rsidRPr="00D9007C">
        <w:rPr>
          <w:bCs/>
          <w:sz w:val="20"/>
        </w:rPr>
        <w:t>Demonstrated experience in forensic science laboratory management, program evaluation and technical administration; demonstrated skills in program planning, policy implementation and evaluation; proven leadership ability in developing and motivating a professional scientific staff. Demonstrated program development skills and capacity to identify service gaps; improving work flow while maintaining quality casework. Candidates who hold a doctorate degree in an appropriate discipline and possess demonstrated managerial experience in an accredited facility will be given preference.  Process mapping, Lean/Six Sigma and project management skills preferred</w:t>
      </w:r>
      <w:r>
        <w:rPr>
          <w:bCs/>
          <w:sz w:val="20"/>
        </w:rPr>
        <w:t>.</w:t>
      </w:r>
    </w:p>
    <w:p w:rsidR="00C66169" w:rsidRDefault="00C66169" w:rsidP="00F919EE">
      <w:pPr>
        <w:jc w:val="both"/>
        <w:rPr>
          <w:rFonts w:ascii="Times New (W1)" w:hAnsi="Times New (W1)" w:cs="Arial"/>
          <w:b/>
          <w:bCs/>
          <w:color w:val="000000"/>
          <w:sz w:val="20"/>
        </w:rPr>
      </w:pPr>
    </w:p>
    <w:p w:rsidR="00D9007C" w:rsidRDefault="00181F4E" w:rsidP="00F919EE">
      <w:pPr>
        <w:jc w:val="both"/>
        <w:rPr>
          <w:rFonts w:ascii="Times New (W1)" w:hAnsi="Times New (W1)" w:cs="Arial"/>
          <w:b/>
          <w:bCs/>
          <w:color w:val="000000"/>
          <w:sz w:val="20"/>
        </w:rPr>
      </w:pPr>
      <w:r>
        <w:rPr>
          <w:rFonts w:ascii="Times New (W1)" w:hAnsi="Times New (W1)" w:cs="Arial"/>
          <w:b/>
          <w:bCs/>
          <w:noProof/>
          <w:color w:val="000000"/>
          <w:sz w:val="20"/>
        </w:rPr>
        <w:pict>
          <v:rect id="_x0000_s1055" style="position:absolute;left:0;text-align:left;margin-left:28.8pt;margin-top:687pt;width:551.55pt;height:1.55pt;z-index:-251656192;mso-position-horizontal-relative:page;mso-position-vertical-relative:page" fillcolor="black" stroked="f" strokeweight="0">
            <v:fill color2="black"/>
            <w10:wrap anchorx="page" anchory="page"/>
            <w10:anchorlock/>
          </v:rect>
        </w:pict>
      </w:r>
    </w:p>
    <w:p w:rsidR="003C65F8" w:rsidRPr="00AA5064" w:rsidRDefault="00357389" w:rsidP="00357389">
      <w:pPr>
        <w:tabs>
          <w:tab w:val="left" w:pos="675"/>
          <w:tab w:val="center" w:pos="5472"/>
        </w:tabs>
        <w:rPr>
          <w:rFonts w:ascii="Times New (W1)" w:hAnsi="Times New (W1)" w:cs="Arial"/>
          <w:b/>
          <w:bCs/>
          <w:color w:val="000000"/>
          <w:sz w:val="20"/>
        </w:rPr>
      </w:pPr>
      <w:r>
        <w:rPr>
          <w:rFonts w:ascii="Times New (W1)" w:hAnsi="Times New (W1)" w:cs="Arial"/>
          <w:b/>
          <w:bCs/>
          <w:color w:val="000000"/>
          <w:sz w:val="20"/>
        </w:rPr>
        <w:tab/>
      </w:r>
      <w:r>
        <w:rPr>
          <w:rFonts w:ascii="Times New (W1)" w:hAnsi="Times New (W1)" w:cs="Arial"/>
          <w:b/>
          <w:bCs/>
          <w:color w:val="000000"/>
          <w:sz w:val="20"/>
        </w:rPr>
        <w:tab/>
      </w:r>
      <w:r w:rsidR="00181F4E" w:rsidRPr="00181F4E">
        <w:rPr>
          <w:rFonts w:ascii="Times New (W1)" w:hAnsi="Times New (W1)"/>
          <w:noProof/>
          <w:sz w:val="20"/>
        </w:rPr>
        <w:pict>
          <v:rect id="_x0000_s1048" style="position:absolute;margin-left:28.8pt;margin-top:448.5pt;width:549.6pt;height:1.2pt;z-index:-251660288;mso-position-horizontal-relative:page;mso-position-vertical-relative:page" fillcolor="black" stroked="f" strokeweight="0">
            <v:fill color2="black"/>
            <w10:wrap anchorx="page" anchory="page"/>
            <w10:anchorlock/>
          </v:rect>
        </w:pict>
      </w:r>
      <w:r w:rsidR="00181F4E" w:rsidRPr="00181F4E">
        <w:rPr>
          <w:rFonts w:ascii="Times New (W1)" w:hAnsi="Times New (W1)"/>
          <w:noProof/>
          <w:sz w:val="20"/>
        </w:rPr>
        <w:pict>
          <v:rect id="_x0000_s1049" style="position:absolute;margin-left:28.8pt;margin-top:606pt;width:551.55pt;height:1.55pt;z-index:-251659264;mso-position-horizontal-relative:page;mso-position-vertical-relative:page" fillcolor="black" stroked="f" strokeweight="0">
            <v:fill color2="black"/>
            <w10:wrap anchorx="page" anchory="page"/>
            <w10:anchorlock/>
          </v:rect>
        </w:pict>
      </w:r>
      <w:r w:rsidR="003C65F8" w:rsidRPr="00AA5064">
        <w:rPr>
          <w:rFonts w:ascii="Times New (W1)" w:hAnsi="Times New (W1)" w:cs="Arial"/>
          <w:b/>
          <w:bCs/>
          <w:color w:val="000000"/>
          <w:sz w:val="20"/>
        </w:rPr>
        <w:t>TO APPLY, PLEASE SUBMIT RESUME AND COVER LETTER TO:</w:t>
      </w:r>
    </w:p>
    <w:p w:rsidR="004E2546" w:rsidRDefault="004E2546" w:rsidP="009639B0">
      <w:pPr>
        <w:ind w:left="90"/>
        <w:jc w:val="center"/>
        <w:rPr>
          <w:rFonts w:ascii="Times New (W1)" w:hAnsi="Times New (W1)" w:cs="Arial"/>
          <w:color w:val="000000"/>
          <w:sz w:val="20"/>
        </w:rPr>
      </w:pPr>
    </w:p>
    <w:p w:rsidR="004E2546" w:rsidRPr="00AA5064" w:rsidRDefault="000C5297" w:rsidP="009639B0">
      <w:pPr>
        <w:jc w:val="center"/>
        <w:rPr>
          <w:rFonts w:ascii="Times New (W1)" w:hAnsi="Times New (W1)" w:cs="Arial"/>
          <w:b/>
          <w:color w:val="000000"/>
          <w:sz w:val="20"/>
        </w:rPr>
      </w:pPr>
      <w:r>
        <w:rPr>
          <w:rFonts w:ascii="Times New (W1)" w:hAnsi="Times New (W1)" w:cs="Arial"/>
          <w:b/>
          <w:color w:val="000000"/>
          <w:sz w:val="20"/>
        </w:rPr>
        <w:t>https://a127-jobs.nyc.gov</w:t>
      </w:r>
    </w:p>
    <w:p w:rsidR="004E2546" w:rsidRPr="00AA5064" w:rsidRDefault="004E2546" w:rsidP="00D9007C">
      <w:pPr>
        <w:jc w:val="both"/>
        <w:rPr>
          <w:rFonts w:ascii="Times New (W1)" w:hAnsi="Times New (W1)" w:cs="Estrangelo Edessa"/>
          <w:b/>
          <w:bCs/>
          <w:color w:val="000000"/>
          <w:sz w:val="20"/>
        </w:rPr>
      </w:pPr>
    </w:p>
    <w:tbl>
      <w:tblPr>
        <w:tblW w:w="11070" w:type="dxa"/>
        <w:tblInd w:w="87" w:type="dxa"/>
        <w:tblLayout w:type="fixed"/>
        <w:tblCellMar>
          <w:left w:w="87" w:type="dxa"/>
          <w:right w:w="87" w:type="dxa"/>
        </w:tblCellMar>
        <w:tblLook w:val="0000"/>
      </w:tblPr>
      <w:tblGrid>
        <w:gridCol w:w="3240"/>
        <w:gridCol w:w="3960"/>
        <w:gridCol w:w="3870"/>
      </w:tblGrid>
      <w:tr w:rsidR="003C65F8" w:rsidRPr="00AA5064">
        <w:trPr>
          <w:trHeight w:val="597"/>
          <w:tblHeader/>
        </w:trPr>
        <w:tc>
          <w:tcPr>
            <w:tcW w:w="3240" w:type="dxa"/>
            <w:tcBorders>
              <w:top w:val="double" w:sz="7" w:space="0" w:color="000000"/>
              <w:left w:val="double" w:sz="7" w:space="0" w:color="000000"/>
              <w:bottom w:val="double" w:sz="7" w:space="0" w:color="000000"/>
              <w:right w:val="single" w:sz="6" w:space="0" w:color="FFFFFF"/>
            </w:tcBorders>
          </w:tcPr>
          <w:p w:rsidR="003C65F8" w:rsidRPr="00AA5064" w:rsidRDefault="003C65F8" w:rsidP="00D9007C">
            <w:pPr>
              <w:spacing w:line="120" w:lineRule="exact"/>
              <w:jc w:val="both"/>
              <w:rPr>
                <w:rFonts w:ascii="Times New (W1)" w:hAnsi="Times New (W1)" w:cs="Arial"/>
                <w:color w:val="000000"/>
                <w:sz w:val="20"/>
              </w:rPr>
            </w:pPr>
          </w:p>
          <w:p w:rsidR="003C65F8" w:rsidRPr="00AA5064" w:rsidRDefault="007F6EEC" w:rsidP="00D9007C">
            <w:pPr>
              <w:tabs>
                <w:tab w:val="left" w:pos="90"/>
                <w:tab w:val="left" w:pos="810"/>
                <w:tab w:val="left" w:pos="1530"/>
                <w:tab w:val="left" w:pos="2250"/>
                <w:tab w:val="left" w:pos="2283"/>
                <w:tab w:val="left" w:pos="2970"/>
                <w:tab w:val="left" w:pos="3690"/>
                <w:tab w:val="left" w:pos="4410"/>
                <w:tab w:val="left" w:pos="5130"/>
                <w:tab w:val="left" w:pos="5850"/>
                <w:tab w:val="left" w:pos="6570"/>
                <w:tab w:val="left" w:pos="7290"/>
                <w:tab w:val="left" w:pos="8010"/>
                <w:tab w:val="left" w:pos="8730"/>
              </w:tabs>
              <w:jc w:val="both"/>
              <w:rPr>
                <w:rFonts w:ascii="Times New (W1)" w:hAnsi="Times New (W1)" w:cs="Arial"/>
                <w:b/>
                <w:color w:val="000000"/>
                <w:sz w:val="20"/>
              </w:rPr>
            </w:pPr>
            <w:r w:rsidRPr="00AA5064">
              <w:rPr>
                <w:rFonts w:ascii="Times New (W1)" w:hAnsi="Times New (W1)" w:cs="Arial"/>
                <w:b/>
                <w:color w:val="000000"/>
                <w:sz w:val="20"/>
              </w:rPr>
              <w:t xml:space="preserve">POST DATE: </w:t>
            </w:r>
            <w:r w:rsidR="00956833">
              <w:rPr>
                <w:rFonts w:ascii="Times New (W1)" w:hAnsi="Times New (W1)" w:cs="Arial"/>
                <w:b/>
                <w:color w:val="000000"/>
                <w:sz w:val="20"/>
              </w:rPr>
              <w:t>APRIL 2015</w:t>
            </w:r>
          </w:p>
          <w:p w:rsidR="003C65F8" w:rsidRPr="00AA5064" w:rsidRDefault="003C65F8" w:rsidP="00D9007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both"/>
              <w:rPr>
                <w:rFonts w:ascii="Times New (W1)" w:hAnsi="Times New (W1)" w:cs="Arial"/>
                <w:color w:val="000000"/>
                <w:sz w:val="20"/>
              </w:rPr>
            </w:pPr>
          </w:p>
        </w:tc>
        <w:tc>
          <w:tcPr>
            <w:tcW w:w="3960" w:type="dxa"/>
            <w:tcBorders>
              <w:top w:val="double" w:sz="7" w:space="0" w:color="000000"/>
              <w:left w:val="single" w:sz="7" w:space="0" w:color="000000"/>
              <w:bottom w:val="double" w:sz="7" w:space="0" w:color="000000"/>
              <w:right w:val="single" w:sz="6" w:space="0" w:color="FFFFFF"/>
            </w:tcBorders>
          </w:tcPr>
          <w:p w:rsidR="003C65F8" w:rsidRPr="00AA5064" w:rsidRDefault="003C65F8" w:rsidP="00D9007C">
            <w:pPr>
              <w:spacing w:line="120" w:lineRule="exact"/>
              <w:jc w:val="both"/>
              <w:rPr>
                <w:rFonts w:ascii="Times New (W1)" w:hAnsi="Times New (W1)" w:cs="Arial"/>
                <w:color w:val="000000"/>
                <w:sz w:val="20"/>
              </w:rPr>
            </w:pPr>
          </w:p>
          <w:p w:rsidR="003C65F8" w:rsidRPr="00AA5064" w:rsidRDefault="003C65F8" w:rsidP="00C6616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both"/>
              <w:rPr>
                <w:rFonts w:ascii="Times New (W1)" w:hAnsi="Times New (W1)" w:cs="Arial"/>
                <w:color w:val="000000"/>
                <w:sz w:val="20"/>
              </w:rPr>
            </w:pPr>
            <w:r w:rsidRPr="00AA5064">
              <w:rPr>
                <w:rFonts w:ascii="Times New (W1)" w:hAnsi="Times New (W1)" w:cs="Arial"/>
                <w:b/>
                <w:color w:val="000000"/>
                <w:sz w:val="20"/>
              </w:rPr>
              <w:t>POST UNTIL:</w:t>
            </w:r>
            <w:r w:rsidR="00715372" w:rsidRPr="00AA5064">
              <w:rPr>
                <w:rFonts w:ascii="Times New (W1)" w:hAnsi="Times New (W1)" w:cs="Arial"/>
                <w:b/>
                <w:color w:val="000000"/>
                <w:sz w:val="20"/>
              </w:rPr>
              <w:t xml:space="preserve">  </w:t>
            </w:r>
            <w:r w:rsidR="00956833">
              <w:rPr>
                <w:rFonts w:ascii="Times New (W1)" w:hAnsi="Times New (W1)" w:cs="Arial"/>
                <w:b/>
                <w:color w:val="000000"/>
                <w:sz w:val="20"/>
              </w:rPr>
              <w:t>UNTIL FILLED</w:t>
            </w:r>
          </w:p>
        </w:tc>
        <w:tc>
          <w:tcPr>
            <w:tcW w:w="3870" w:type="dxa"/>
            <w:tcBorders>
              <w:top w:val="double" w:sz="7" w:space="0" w:color="000000"/>
              <w:left w:val="single" w:sz="7" w:space="0" w:color="000000"/>
              <w:bottom w:val="double" w:sz="7" w:space="0" w:color="000000"/>
              <w:right w:val="double" w:sz="7" w:space="0" w:color="000000"/>
            </w:tcBorders>
          </w:tcPr>
          <w:p w:rsidR="003C65F8" w:rsidRPr="00AA5064" w:rsidRDefault="003C65F8" w:rsidP="00D9007C">
            <w:pPr>
              <w:spacing w:line="120" w:lineRule="exact"/>
              <w:jc w:val="both"/>
              <w:rPr>
                <w:rFonts w:ascii="Times New (W1)" w:hAnsi="Times New (W1)" w:cs="Arial"/>
                <w:color w:val="000000"/>
                <w:sz w:val="20"/>
              </w:rPr>
            </w:pPr>
          </w:p>
          <w:p w:rsidR="003C65F8" w:rsidRPr="00E77F13" w:rsidRDefault="00E77F13" w:rsidP="00D9007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Times New (W1)" w:hAnsi="Times New (W1)" w:cs="Arial"/>
                <w:b/>
                <w:color w:val="FF0000"/>
                <w:sz w:val="20"/>
              </w:rPr>
            </w:pPr>
            <w:r w:rsidRPr="00E77F13">
              <w:rPr>
                <w:rFonts w:ascii="Times New (W1)" w:hAnsi="Times New (W1)" w:cs="Arial"/>
                <w:b/>
                <w:color w:val="FF0000"/>
                <w:sz w:val="20"/>
              </w:rPr>
              <w:t xml:space="preserve">Job Opening # </w:t>
            </w:r>
            <w:r w:rsidR="00956833">
              <w:rPr>
                <w:rFonts w:ascii="Times New (W1)" w:hAnsi="Times New (W1)" w:cs="Arial"/>
                <w:b/>
                <w:color w:val="FF0000"/>
                <w:sz w:val="20"/>
              </w:rPr>
              <w:t>191009</w:t>
            </w:r>
          </w:p>
          <w:p w:rsidR="003C65F8" w:rsidRPr="00AA5064" w:rsidRDefault="003C65F8" w:rsidP="00D9007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both"/>
              <w:rPr>
                <w:rFonts w:ascii="Times New (W1)" w:hAnsi="Times New (W1)" w:cs="Arial"/>
                <w:color w:val="000000"/>
                <w:sz w:val="20"/>
              </w:rPr>
            </w:pPr>
          </w:p>
        </w:tc>
      </w:tr>
    </w:tbl>
    <w:p w:rsidR="00E77F13" w:rsidRDefault="00E77F13" w:rsidP="00FD693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ight="720"/>
        <w:jc w:val="center"/>
        <w:rPr>
          <w:rFonts w:ascii="Times New (W1)" w:hAnsi="Times New (W1)" w:cs="Arial"/>
          <w:b/>
          <w:bCs/>
          <w:color w:val="000000"/>
          <w:sz w:val="20"/>
        </w:rPr>
      </w:pPr>
    </w:p>
    <w:p w:rsidR="00D128D8" w:rsidRPr="00AA5064" w:rsidRDefault="003C65F8" w:rsidP="00E77F1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W1)" w:hAnsi="Times New (W1)" w:cs="Estrangelo Edessa"/>
          <w:b/>
          <w:bCs/>
          <w:color w:val="0000FF"/>
          <w:sz w:val="20"/>
        </w:rPr>
      </w:pPr>
      <w:r w:rsidRPr="00AA5064">
        <w:rPr>
          <w:rFonts w:ascii="Times New (W1)" w:hAnsi="Times New (W1)" w:cs="Arial"/>
          <w:b/>
          <w:bCs/>
          <w:color w:val="000000"/>
          <w:sz w:val="20"/>
        </w:rPr>
        <w:t>The City is an Equal Opportunity Employer</w:t>
      </w:r>
      <w:r w:rsidRPr="00AA5064">
        <w:rPr>
          <w:rFonts w:ascii="Times New (W1)" w:hAnsi="Times New (W1)" w:cs="Estrangelo Edessa"/>
          <w:b/>
          <w:bCs/>
          <w:color w:val="0000FF"/>
          <w:sz w:val="20"/>
        </w:rPr>
        <w:t>.</w:t>
      </w:r>
    </w:p>
    <w:p w:rsidR="003C65F8" w:rsidRPr="00AA5064" w:rsidRDefault="003C65F8" w:rsidP="00E77F1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W1)" w:hAnsi="Times New (W1)"/>
          <w:sz w:val="20"/>
        </w:rPr>
      </w:pPr>
      <w:r w:rsidRPr="00AA5064">
        <w:rPr>
          <w:rFonts w:ascii="Times New (W1)" w:hAnsi="Times New (W1)" w:cs="Estrangelo Edessa"/>
          <w:b/>
          <w:bCs/>
          <w:color w:val="0000FF"/>
          <w:sz w:val="20"/>
        </w:rPr>
        <w:t>The Official NYC Web Site: www.nyc.gov</w:t>
      </w:r>
    </w:p>
    <w:sectPr w:rsidR="003C65F8" w:rsidRPr="00AA5064" w:rsidSect="00E77F13">
      <w:footerReference w:type="default" r:id="rId7"/>
      <w:footnotePr>
        <w:numFmt w:val="lowerLetter"/>
      </w:footnotePr>
      <w:endnotePr>
        <w:numFmt w:val="lowerLetter"/>
      </w:endnotePr>
      <w:pgSz w:w="12240" w:h="20160" w:code="5"/>
      <w:pgMar w:top="576" w:right="720" w:bottom="720" w:left="576"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69" w:rsidRDefault="00C66169">
      <w:r>
        <w:separator/>
      </w:r>
    </w:p>
  </w:endnote>
  <w:endnote w:type="continuationSeparator" w:id="0">
    <w:p w:rsidR="00C66169" w:rsidRDefault="00C6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Linotype">
    <w:panose1 w:val="00000000000000000000"/>
    <w:charset w:val="00"/>
    <w:family w:val="roman"/>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69" w:rsidRDefault="00C66169">
    <w:pPr>
      <w:spacing w:line="0" w:lineRule="atLeas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69" w:rsidRDefault="00C66169">
      <w:r>
        <w:separator/>
      </w:r>
    </w:p>
  </w:footnote>
  <w:footnote w:type="continuationSeparator" w:id="0">
    <w:p w:rsidR="00C66169" w:rsidRDefault="00C6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4484"/>
    <w:multiLevelType w:val="hybridMultilevel"/>
    <w:tmpl w:val="5A0E4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022FB"/>
    <w:multiLevelType w:val="hybridMultilevel"/>
    <w:tmpl w:val="78282FA0"/>
    <w:lvl w:ilvl="0" w:tplc="B82E64C0">
      <w:start w:val="1"/>
      <w:numFmt w:val="decimal"/>
      <w:lvlText w:val="%1."/>
      <w:lvlJc w:val="left"/>
      <w:pPr>
        <w:tabs>
          <w:tab w:val="num" w:pos="792"/>
        </w:tabs>
        <w:ind w:left="792"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C2C27"/>
    <w:multiLevelType w:val="hybridMultilevel"/>
    <w:tmpl w:val="C92C19C6"/>
    <w:lvl w:ilvl="0" w:tplc="3E2A3402">
      <w:start w:val="1"/>
      <w:numFmt w:val="lowerLetter"/>
      <w:lvlText w:val="%1)"/>
      <w:lvlJc w:val="left"/>
      <w:pPr>
        <w:tabs>
          <w:tab w:val="num" w:pos="1728"/>
        </w:tabs>
        <w:ind w:left="1728" w:hanging="360"/>
      </w:pPr>
      <w:rPr>
        <w:rFonts w:hint="default"/>
        <w:b w:val="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
    <w:nsid w:val="302E0B20"/>
    <w:multiLevelType w:val="hybridMultilevel"/>
    <w:tmpl w:val="F6384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8C1081"/>
    <w:multiLevelType w:val="hybridMultilevel"/>
    <w:tmpl w:val="E8B4E5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C84F5F"/>
    <w:multiLevelType w:val="hybridMultilevel"/>
    <w:tmpl w:val="5C42D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E35BF6"/>
    <w:multiLevelType w:val="multilevel"/>
    <w:tmpl w:val="9DB47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4DD944A7"/>
    <w:multiLevelType w:val="hybridMultilevel"/>
    <w:tmpl w:val="F41EAB7E"/>
    <w:lvl w:ilvl="0" w:tplc="A4C22B46">
      <w:start w:val="1"/>
      <w:numFmt w:val="decimal"/>
      <w:lvlText w:val="%1."/>
      <w:lvlJc w:val="left"/>
      <w:pPr>
        <w:tabs>
          <w:tab w:val="num" w:pos="936"/>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445592"/>
    <w:multiLevelType w:val="hybridMultilevel"/>
    <w:tmpl w:val="152C8C0E"/>
    <w:lvl w:ilvl="0" w:tplc="04090001">
      <w:start w:val="1"/>
      <w:numFmt w:val="bullet"/>
      <w:lvlText w:val=""/>
      <w:lvlJc w:val="left"/>
      <w:pPr>
        <w:tabs>
          <w:tab w:val="num" w:pos="720"/>
        </w:tabs>
        <w:ind w:left="720" w:hanging="360"/>
      </w:pPr>
      <w:rPr>
        <w:rFonts w:ascii="Symbol" w:hAnsi="Symbol" w:hint="default"/>
      </w:rPr>
    </w:lvl>
    <w:lvl w:ilvl="1" w:tplc="9FF86F88">
      <w:start w:val="1"/>
      <w:numFmt w:val="decimal"/>
      <w:lvlText w:val="%2."/>
      <w:lvlJc w:val="left"/>
      <w:pPr>
        <w:tabs>
          <w:tab w:val="num" w:pos="936"/>
        </w:tabs>
        <w:ind w:left="1008" w:hanging="576"/>
      </w:pPr>
      <w:rPr>
        <w:rFonts w:ascii="Times New Roman" w:hAnsi="Times New Roman" w:cs="Times New Roman" w:hint="default"/>
        <w:b/>
        <w:sz w:val="20"/>
        <w:szCs w:val="2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67076C"/>
    <w:multiLevelType w:val="hybridMultilevel"/>
    <w:tmpl w:val="DC88C6B8"/>
    <w:lvl w:ilvl="0" w:tplc="A4C22B46">
      <w:start w:val="1"/>
      <w:numFmt w:val="decimal"/>
      <w:lvlText w:val="%1."/>
      <w:lvlJc w:val="left"/>
      <w:pPr>
        <w:tabs>
          <w:tab w:val="num" w:pos="936"/>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D4824"/>
    <w:multiLevelType w:val="multilevel"/>
    <w:tmpl w:val="9DB47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72538C6"/>
    <w:multiLevelType w:val="hybridMultilevel"/>
    <w:tmpl w:val="83D4E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0"/>
  </w:num>
  <w:num w:numId="5">
    <w:abstractNumId w:val="8"/>
  </w:num>
  <w:num w:numId="6">
    <w:abstractNumId w:val="4"/>
  </w:num>
  <w:num w:numId="7">
    <w:abstractNumId w:val="7"/>
  </w:num>
  <w:num w:numId="8">
    <w:abstractNumId w:val="10"/>
  </w:num>
  <w:num w:numId="9">
    <w:abstractNumId w:val="9"/>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numFmt w:val="lowerLetter"/>
    <w:footnote w:id="-1"/>
    <w:footnote w:id="0"/>
  </w:footnotePr>
  <w:endnotePr>
    <w:numFmt w:val="lowerLetter"/>
    <w:endnote w:id="-1"/>
    <w:endnote w:id="0"/>
  </w:endnotePr>
  <w:compat/>
  <w:rsids>
    <w:rsidRoot w:val="00025EA1"/>
    <w:rsid w:val="00001FCC"/>
    <w:rsid w:val="0001496B"/>
    <w:rsid w:val="00025EA1"/>
    <w:rsid w:val="000274FC"/>
    <w:rsid w:val="000303DE"/>
    <w:rsid w:val="00032211"/>
    <w:rsid w:val="0003338B"/>
    <w:rsid w:val="00035BAD"/>
    <w:rsid w:val="00063838"/>
    <w:rsid w:val="00067079"/>
    <w:rsid w:val="0008142F"/>
    <w:rsid w:val="00092AFC"/>
    <w:rsid w:val="000A0209"/>
    <w:rsid w:val="000C5297"/>
    <w:rsid w:val="000D3D16"/>
    <w:rsid w:val="000D74F8"/>
    <w:rsid w:val="000E037D"/>
    <w:rsid w:val="00116134"/>
    <w:rsid w:val="00132B28"/>
    <w:rsid w:val="0013507F"/>
    <w:rsid w:val="001728A3"/>
    <w:rsid w:val="00181F4E"/>
    <w:rsid w:val="001A125F"/>
    <w:rsid w:val="001A21B6"/>
    <w:rsid w:val="001C05D1"/>
    <w:rsid w:val="001C2F5D"/>
    <w:rsid w:val="001C4428"/>
    <w:rsid w:val="001F0FB2"/>
    <w:rsid w:val="002120B5"/>
    <w:rsid w:val="00217FEB"/>
    <w:rsid w:val="00244C00"/>
    <w:rsid w:val="002540BE"/>
    <w:rsid w:val="00267A7C"/>
    <w:rsid w:val="00272B46"/>
    <w:rsid w:val="00283279"/>
    <w:rsid w:val="0029498D"/>
    <w:rsid w:val="002A0559"/>
    <w:rsid w:val="002A283F"/>
    <w:rsid w:val="002C7105"/>
    <w:rsid w:val="002D0620"/>
    <w:rsid w:val="002F4845"/>
    <w:rsid w:val="00326371"/>
    <w:rsid w:val="003277B8"/>
    <w:rsid w:val="00335053"/>
    <w:rsid w:val="00357389"/>
    <w:rsid w:val="00387AAD"/>
    <w:rsid w:val="003C1BAE"/>
    <w:rsid w:val="003C65F8"/>
    <w:rsid w:val="003D13AE"/>
    <w:rsid w:val="00401E33"/>
    <w:rsid w:val="00417DB7"/>
    <w:rsid w:val="0042393F"/>
    <w:rsid w:val="00450838"/>
    <w:rsid w:val="00456E5C"/>
    <w:rsid w:val="004642C0"/>
    <w:rsid w:val="00472666"/>
    <w:rsid w:val="00474081"/>
    <w:rsid w:val="00477931"/>
    <w:rsid w:val="0048369E"/>
    <w:rsid w:val="004A2359"/>
    <w:rsid w:val="004A68FA"/>
    <w:rsid w:val="004D5FF2"/>
    <w:rsid w:val="004D6B52"/>
    <w:rsid w:val="004E2546"/>
    <w:rsid w:val="004F184B"/>
    <w:rsid w:val="004F2749"/>
    <w:rsid w:val="004F76AA"/>
    <w:rsid w:val="00510882"/>
    <w:rsid w:val="00515169"/>
    <w:rsid w:val="00537B22"/>
    <w:rsid w:val="00540371"/>
    <w:rsid w:val="00552110"/>
    <w:rsid w:val="00552EFA"/>
    <w:rsid w:val="00564003"/>
    <w:rsid w:val="00566BAB"/>
    <w:rsid w:val="00582FF8"/>
    <w:rsid w:val="0059666F"/>
    <w:rsid w:val="005E6650"/>
    <w:rsid w:val="005F062C"/>
    <w:rsid w:val="0060727A"/>
    <w:rsid w:val="006240A9"/>
    <w:rsid w:val="00635208"/>
    <w:rsid w:val="006471B7"/>
    <w:rsid w:val="0065724A"/>
    <w:rsid w:val="00661C60"/>
    <w:rsid w:val="00674C11"/>
    <w:rsid w:val="006A5387"/>
    <w:rsid w:val="006B5715"/>
    <w:rsid w:val="006C10D6"/>
    <w:rsid w:val="006C1CD0"/>
    <w:rsid w:val="006D7B1F"/>
    <w:rsid w:val="006F0A39"/>
    <w:rsid w:val="006F2510"/>
    <w:rsid w:val="0070622D"/>
    <w:rsid w:val="0070697D"/>
    <w:rsid w:val="007077D0"/>
    <w:rsid w:val="00710CDD"/>
    <w:rsid w:val="0071188C"/>
    <w:rsid w:val="0071466F"/>
    <w:rsid w:val="00715372"/>
    <w:rsid w:val="00723626"/>
    <w:rsid w:val="00730162"/>
    <w:rsid w:val="0075357C"/>
    <w:rsid w:val="00754BEE"/>
    <w:rsid w:val="007656D5"/>
    <w:rsid w:val="0077679D"/>
    <w:rsid w:val="00776EAA"/>
    <w:rsid w:val="007B64AF"/>
    <w:rsid w:val="007C5184"/>
    <w:rsid w:val="007D0711"/>
    <w:rsid w:val="007E1C47"/>
    <w:rsid w:val="007E360B"/>
    <w:rsid w:val="007E4C36"/>
    <w:rsid w:val="007E7CB1"/>
    <w:rsid w:val="007F6C95"/>
    <w:rsid w:val="007F6EEC"/>
    <w:rsid w:val="0080449E"/>
    <w:rsid w:val="00820280"/>
    <w:rsid w:val="00833B7F"/>
    <w:rsid w:val="0083435D"/>
    <w:rsid w:val="008376FC"/>
    <w:rsid w:val="00850039"/>
    <w:rsid w:val="0085168B"/>
    <w:rsid w:val="00851CB0"/>
    <w:rsid w:val="00872EB8"/>
    <w:rsid w:val="0087681A"/>
    <w:rsid w:val="00896E0F"/>
    <w:rsid w:val="008A3EE9"/>
    <w:rsid w:val="008B0FB2"/>
    <w:rsid w:val="008C0C57"/>
    <w:rsid w:val="008C35EF"/>
    <w:rsid w:val="008C68B6"/>
    <w:rsid w:val="008C7B90"/>
    <w:rsid w:val="008D01D0"/>
    <w:rsid w:val="008F6FCA"/>
    <w:rsid w:val="009047E1"/>
    <w:rsid w:val="00910F6D"/>
    <w:rsid w:val="00912AB5"/>
    <w:rsid w:val="009223A3"/>
    <w:rsid w:val="009429E0"/>
    <w:rsid w:val="009450ED"/>
    <w:rsid w:val="00950904"/>
    <w:rsid w:val="00956833"/>
    <w:rsid w:val="0095724B"/>
    <w:rsid w:val="009639B0"/>
    <w:rsid w:val="00981C7C"/>
    <w:rsid w:val="00984302"/>
    <w:rsid w:val="00986627"/>
    <w:rsid w:val="009908BA"/>
    <w:rsid w:val="00990A20"/>
    <w:rsid w:val="0099212D"/>
    <w:rsid w:val="00993B61"/>
    <w:rsid w:val="009A5437"/>
    <w:rsid w:val="009B6D92"/>
    <w:rsid w:val="009B7D8C"/>
    <w:rsid w:val="009C626C"/>
    <w:rsid w:val="009E0093"/>
    <w:rsid w:val="009F23DF"/>
    <w:rsid w:val="00A014BC"/>
    <w:rsid w:val="00A0285E"/>
    <w:rsid w:val="00A13034"/>
    <w:rsid w:val="00A453E6"/>
    <w:rsid w:val="00A5617E"/>
    <w:rsid w:val="00A72ED6"/>
    <w:rsid w:val="00A83DF4"/>
    <w:rsid w:val="00A91E3D"/>
    <w:rsid w:val="00AA1B22"/>
    <w:rsid w:val="00AA5064"/>
    <w:rsid w:val="00AB16C1"/>
    <w:rsid w:val="00AB3A8B"/>
    <w:rsid w:val="00AB7D13"/>
    <w:rsid w:val="00AC381B"/>
    <w:rsid w:val="00AF02E2"/>
    <w:rsid w:val="00AF26CA"/>
    <w:rsid w:val="00B07D78"/>
    <w:rsid w:val="00B40868"/>
    <w:rsid w:val="00B4452F"/>
    <w:rsid w:val="00B45D49"/>
    <w:rsid w:val="00B53B84"/>
    <w:rsid w:val="00B55B35"/>
    <w:rsid w:val="00B623CD"/>
    <w:rsid w:val="00B649EF"/>
    <w:rsid w:val="00B66DF7"/>
    <w:rsid w:val="00B740EC"/>
    <w:rsid w:val="00B847D3"/>
    <w:rsid w:val="00B87B6B"/>
    <w:rsid w:val="00BB098C"/>
    <w:rsid w:val="00BC21B8"/>
    <w:rsid w:val="00BC6158"/>
    <w:rsid w:val="00BE7BB2"/>
    <w:rsid w:val="00BF28A7"/>
    <w:rsid w:val="00C02DB7"/>
    <w:rsid w:val="00C03307"/>
    <w:rsid w:val="00C05F72"/>
    <w:rsid w:val="00C308D1"/>
    <w:rsid w:val="00C564CD"/>
    <w:rsid w:val="00C66169"/>
    <w:rsid w:val="00C8306D"/>
    <w:rsid w:val="00C840F2"/>
    <w:rsid w:val="00CA2DC5"/>
    <w:rsid w:val="00CB28EC"/>
    <w:rsid w:val="00CB759F"/>
    <w:rsid w:val="00CB77D6"/>
    <w:rsid w:val="00CB7A21"/>
    <w:rsid w:val="00CC1F38"/>
    <w:rsid w:val="00CC3A87"/>
    <w:rsid w:val="00CD0A33"/>
    <w:rsid w:val="00CE13F8"/>
    <w:rsid w:val="00CF436E"/>
    <w:rsid w:val="00CF5734"/>
    <w:rsid w:val="00CF7370"/>
    <w:rsid w:val="00CF7A9C"/>
    <w:rsid w:val="00D11F39"/>
    <w:rsid w:val="00D128D8"/>
    <w:rsid w:val="00D14639"/>
    <w:rsid w:val="00D16EAD"/>
    <w:rsid w:val="00D22E9A"/>
    <w:rsid w:val="00D30029"/>
    <w:rsid w:val="00D37716"/>
    <w:rsid w:val="00D65C6E"/>
    <w:rsid w:val="00D714DE"/>
    <w:rsid w:val="00D756B1"/>
    <w:rsid w:val="00D7796C"/>
    <w:rsid w:val="00D87717"/>
    <w:rsid w:val="00D9007C"/>
    <w:rsid w:val="00DA3AD3"/>
    <w:rsid w:val="00DB2FEB"/>
    <w:rsid w:val="00E04101"/>
    <w:rsid w:val="00E22B0B"/>
    <w:rsid w:val="00E23F89"/>
    <w:rsid w:val="00E408CE"/>
    <w:rsid w:val="00E414CE"/>
    <w:rsid w:val="00E420A5"/>
    <w:rsid w:val="00E470A5"/>
    <w:rsid w:val="00E51F89"/>
    <w:rsid w:val="00E70CE0"/>
    <w:rsid w:val="00E72CC6"/>
    <w:rsid w:val="00E77F13"/>
    <w:rsid w:val="00E8250A"/>
    <w:rsid w:val="00EB584D"/>
    <w:rsid w:val="00EC18D3"/>
    <w:rsid w:val="00EF2900"/>
    <w:rsid w:val="00F06D95"/>
    <w:rsid w:val="00F240C6"/>
    <w:rsid w:val="00F24AE6"/>
    <w:rsid w:val="00F327D8"/>
    <w:rsid w:val="00F40363"/>
    <w:rsid w:val="00F919EE"/>
    <w:rsid w:val="00F972AE"/>
    <w:rsid w:val="00FA2568"/>
    <w:rsid w:val="00FB566A"/>
    <w:rsid w:val="00FD052B"/>
    <w:rsid w:val="00FD4D16"/>
    <w:rsid w:val="00FD6939"/>
    <w:rsid w:val="00FE673A"/>
    <w:rsid w:val="00FF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A1"/>
    <w:rPr>
      <w:sz w:val="24"/>
    </w:rPr>
  </w:style>
  <w:style w:type="paragraph" w:styleId="Heading2">
    <w:name w:val="heading 2"/>
    <w:basedOn w:val="Normal"/>
    <w:next w:val="Normal"/>
    <w:qFormat/>
    <w:rsid w:val="00025EA1"/>
    <w:pPr>
      <w:keepNext/>
      <w:spacing w:line="0" w:lineRule="atLeast"/>
      <w:ind w:right="720"/>
      <w:jc w:val="center"/>
      <w:outlineLvl w:val="1"/>
    </w:pPr>
    <w:rPr>
      <w:rFonts w:ascii="Arial" w:hAnsi="Arial"/>
      <w:b/>
      <w:i/>
      <w:sz w:val="19"/>
      <w:szCs w:val="19"/>
    </w:rPr>
  </w:style>
  <w:style w:type="paragraph" w:styleId="Heading3">
    <w:name w:val="heading 3"/>
    <w:basedOn w:val="Normal"/>
    <w:next w:val="Normal"/>
    <w:qFormat/>
    <w:rsid w:val="00025EA1"/>
    <w:pPr>
      <w:keepNext/>
      <w:tabs>
        <w:tab w:val="left" w:pos="11970"/>
        <w:tab w:val="left" w:pos="12150"/>
      </w:tabs>
      <w:jc w:val="center"/>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5EA1"/>
    <w:rPr>
      <w:rFonts w:ascii="Arial" w:hAnsi="Arial" w:cs="Arial"/>
      <w:sz w:val="20"/>
    </w:rPr>
  </w:style>
  <w:style w:type="paragraph" w:customStyle="1" w:styleId="Level1">
    <w:name w:val="Level 1"/>
    <w:basedOn w:val="Normal"/>
    <w:rsid w:val="00025EA1"/>
    <w:pPr>
      <w:widowControl w:val="0"/>
    </w:pPr>
  </w:style>
  <w:style w:type="character" w:styleId="Hyperlink">
    <w:name w:val="Hyperlink"/>
    <w:basedOn w:val="DefaultParagraphFont"/>
    <w:rsid w:val="00025EA1"/>
    <w:rPr>
      <w:color w:val="0000FF"/>
      <w:u w:val="single"/>
    </w:rPr>
  </w:style>
  <w:style w:type="paragraph" w:styleId="BalloonText">
    <w:name w:val="Balloon Text"/>
    <w:basedOn w:val="Normal"/>
    <w:semiHidden/>
    <w:rsid w:val="0071188C"/>
    <w:rPr>
      <w:rFonts w:ascii="Tahoma" w:hAnsi="Tahoma" w:cs="Tahoma"/>
      <w:sz w:val="16"/>
      <w:szCs w:val="16"/>
    </w:rPr>
  </w:style>
  <w:style w:type="paragraph" w:styleId="ListParagraph">
    <w:name w:val="List Paragraph"/>
    <w:basedOn w:val="Normal"/>
    <w:uiPriority w:val="34"/>
    <w:qFormat/>
    <w:rsid w:val="00C66169"/>
    <w:pPr>
      <w:ind w:left="720"/>
      <w:contextualSpacing/>
    </w:pPr>
  </w:style>
  <w:style w:type="character" w:customStyle="1" w:styleId="pseditboxdisponly1">
    <w:name w:val="pseditbox_disponly1"/>
    <w:basedOn w:val="DefaultParagraphFont"/>
    <w:rsid w:val="00A0285E"/>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Appointments are subject to Office of Management and Budget (OMB)</vt:lpstr>
    </vt:vector>
  </TitlesOfParts>
  <Company>OCME</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are subject to Office of Management and Budget (OMB)</dc:title>
  <dc:creator>OCME</dc:creator>
  <cp:lastModifiedBy>OCME</cp:lastModifiedBy>
  <cp:revision>2</cp:revision>
  <cp:lastPrinted>2015-04-17T13:20:00Z</cp:lastPrinted>
  <dcterms:created xsi:type="dcterms:W3CDTF">2015-04-17T21:24:00Z</dcterms:created>
  <dcterms:modified xsi:type="dcterms:W3CDTF">2015-04-17T21:24:00Z</dcterms:modified>
</cp:coreProperties>
</file>